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8D554" w14:textId="77777777" w:rsidR="002048AB" w:rsidRPr="00C25DA5" w:rsidRDefault="002048AB" w:rsidP="002048AB">
      <w:pPr>
        <w:pStyle w:val="Title"/>
        <w:jc w:val="center"/>
        <w:rPr>
          <w:sz w:val="48"/>
          <w:szCs w:val="48"/>
        </w:rPr>
      </w:pPr>
      <w:r w:rsidRPr="00C25DA5">
        <w:rPr>
          <w:sz w:val="48"/>
          <w:szCs w:val="48"/>
        </w:rPr>
        <w:t>Enhancing Analytics Education through Artificial Intelligence and Automated Learning Tools</w:t>
      </w:r>
    </w:p>
    <w:p w14:paraId="4358A832" w14:textId="77777777" w:rsidR="002048AB" w:rsidRDefault="002048AB" w:rsidP="002048AB"/>
    <w:p w14:paraId="7250A8A9" w14:textId="77777777" w:rsidR="002048AB" w:rsidRDefault="002048AB" w:rsidP="002048AB">
      <w:pPr>
        <w:jc w:val="center"/>
      </w:pPr>
      <w:r>
        <w:t xml:space="preserve">Raymond Frost, </w:t>
      </w:r>
      <w:hyperlink r:id="rId5" w:history="1">
        <w:r w:rsidRPr="00950960">
          <w:rPr>
            <w:rStyle w:val="Hyperlink"/>
          </w:rPr>
          <w:t>FrostR@ohio.edu</w:t>
        </w:r>
      </w:hyperlink>
      <w:r>
        <w:t xml:space="preserve"> (corresponding author)</w:t>
      </w:r>
    </w:p>
    <w:p w14:paraId="1B6356F4" w14:textId="77777777" w:rsidR="002048AB" w:rsidRDefault="002048AB" w:rsidP="002048AB">
      <w:pPr>
        <w:jc w:val="center"/>
      </w:pPr>
      <w:r>
        <w:t xml:space="preserve">Janna Chimeli, </w:t>
      </w:r>
      <w:hyperlink r:id="rId6" w:history="1">
        <w:r w:rsidRPr="00950960">
          <w:rPr>
            <w:rStyle w:val="Hyperlink"/>
          </w:rPr>
          <w:t>ChimeliJ@ohio.edu</w:t>
        </w:r>
      </w:hyperlink>
    </w:p>
    <w:p w14:paraId="4D0B9659" w14:textId="77777777" w:rsidR="002048AB" w:rsidRDefault="002048AB" w:rsidP="002048AB">
      <w:pPr>
        <w:jc w:val="center"/>
      </w:pPr>
      <w:r>
        <w:t xml:space="preserve">Ellen Gordon, </w:t>
      </w:r>
      <w:hyperlink r:id="rId7" w:history="1">
        <w:r w:rsidRPr="00950960">
          <w:rPr>
            <w:rStyle w:val="Hyperlink"/>
          </w:rPr>
          <w:t>GordonE@ohio.edu</w:t>
        </w:r>
      </w:hyperlink>
    </w:p>
    <w:p w14:paraId="5093A7A7" w14:textId="77777777" w:rsidR="002048AB" w:rsidRDefault="002048AB" w:rsidP="002048AB">
      <w:pPr>
        <w:jc w:val="center"/>
      </w:pPr>
      <w:r>
        <w:t xml:space="preserve">Tim Haase, </w:t>
      </w:r>
      <w:hyperlink r:id="rId8" w:history="1">
        <w:r w:rsidRPr="00950960">
          <w:rPr>
            <w:rStyle w:val="Hyperlink"/>
          </w:rPr>
          <w:t>Thaase@ramapo.edu</w:t>
        </w:r>
      </w:hyperlink>
    </w:p>
    <w:p w14:paraId="4B938AE8" w14:textId="77777777" w:rsidR="002048AB" w:rsidRDefault="002048AB" w:rsidP="002048AB">
      <w:pPr>
        <w:jc w:val="center"/>
      </w:pPr>
      <w:r>
        <w:t xml:space="preserve">Lauren Kenyo, </w:t>
      </w:r>
      <w:hyperlink r:id="rId9" w:history="1">
        <w:r w:rsidRPr="00950960">
          <w:rPr>
            <w:rStyle w:val="Hyperlink"/>
          </w:rPr>
          <w:t>Kenyo@ohio.edu</w:t>
        </w:r>
      </w:hyperlink>
    </w:p>
    <w:p w14:paraId="7644CCEE" w14:textId="77777777" w:rsidR="002048AB" w:rsidRDefault="002048AB" w:rsidP="002048AB">
      <w:pPr>
        <w:jc w:val="center"/>
      </w:pPr>
      <w:r>
        <w:t xml:space="preserve">Vic Matta, </w:t>
      </w:r>
      <w:hyperlink r:id="rId10" w:history="1">
        <w:r w:rsidRPr="00950960">
          <w:rPr>
            <w:rStyle w:val="Hyperlink"/>
          </w:rPr>
          <w:t>Matta@ohio.edu</w:t>
        </w:r>
      </w:hyperlink>
    </w:p>
    <w:p w14:paraId="4876C0D2" w14:textId="77777777" w:rsidR="002048AB" w:rsidRDefault="002048AB" w:rsidP="002048AB">
      <w:pPr>
        <w:jc w:val="center"/>
      </w:pPr>
      <w:r>
        <w:t xml:space="preserve">Adam Moyer, </w:t>
      </w:r>
      <w:hyperlink r:id="rId11" w:history="1">
        <w:r w:rsidRPr="00950960">
          <w:rPr>
            <w:rStyle w:val="Hyperlink"/>
          </w:rPr>
          <w:t>MoyerA@ohio.edu</w:t>
        </w:r>
      </w:hyperlink>
    </w:p>
    <w:p w14:paraId="0ED00398" w14:textId="77777777" w:rsidR="002048AB" w:rsidRDefault="002048AB" w:rsidP="002048AB"/>
    <w:p w14:paraId="2535C03E" w14:textId="77777777" w:rsidR="002048AB" w:rsidRDefault="002048AB" w:rsidP="002048AB"/>
    <w:p w14:paraId="5B8A1EB4" w14:textId="3B396DCA" w:rsidR="002048AB" w:rsidRDefault="002048AB">
      <w:pPr>
        <w:rPr>
          <w:rFonts w:asciiTheme="majorHAnsi" w:eastAsiaTheme="majorEastAsia" w:hAnsiTheme="majorHAnsi" w:cstheme="majorBidi"/>
          <w:spacing w:val="-10"/>
          <w:kern w:val="28"/>
          <w:sz w:val="48"/>
          <w:szCs w:val="48"/>
        </w:rPr>
      </w:pPr>
      <w:r>
        <w:rPr>
          <w:sz w:val="48"/>
          <w:szCs w:val="48"/>
        </w:rPr>
        <w:br w:type="page"/>
      </w:r>
    </w:p>
    <w:p w14:paraId="0BFEC3ED" w14:textId="04DE3454" w:rsidR="0020321B" w:rsidRPr="00C25DA5" w:rsidRDefault="0020321B" w:rsidP="00C25DA5">
      <w:pPr>
        <w:pStyle w:val="Title"/>
        <w:jc w:val="center"/>
        <w:rPr>
          <w:sz w:val="48"/>
          <w:szCs w:val="48"/>
        </w:rPr>
      </w:pPr>
      <w:r w:rsidRPr="00C25DA5">
        <w:rPr>
          <w:sz w:val="48"/>
          <w:szCs w:val="48"/>
        </w:rPr>
        <w:lastRenderedPageBreak/>
        <w:t>Enhancing Analytics Education through Artificial Intelligence and Automated Learning Tools</w:t>
      </w:r>
    </w:p>
    <w:p w14:paraId="47AF1132" w14:textId="77777777" w:rsidR="0020321B" w:rsidRDefault="0020321B" w:rsidP="0020321B"/>
    <w:p w14:paraId="22338A8D" w14:textId="05A08DF6" w:rsidR="0020321B" w:rsidRDefault="007733F4" w:rsidP="00C25DA5">
      <w:pPr>
        <w:pStyle w:val="Heading1"/>
      </w:pPr>
      <w:r>
        <w:t xml:space="preserve"> </w:t>
      </w:r>
      <w:r w:rsidR="0020321B">
        <w:t>Abstract</w:t>
      </w:r>
    </w:p>
    <w:p w14:paraId="60F9CB9F" w14:textId="4D18CB7C" w:rsidR="0020321B" w:rsidRDefault="00075A67" w:rsidP="0020321B">
      <w:r w:rsidRPr="00075A67">
        <w:t xml:space="preserve">This research aims to enhance analytics education by leveraging artificial intelligence and automated learning tools, focusing on four primary objectives. First, it generates automated problem prompts using AI to create diverse and </w:t>
      </w:r>
      <w:r w:rsidR="00CB3847">
        <w:t>realistic</w:t>
      </w:r>
      <w:r w:rsidRPr="00075A67">
        <w:t xml:space="preserve"> learning scenarios. Second, it provides animated, real-time visualizations of descriptive and inferential statistics—including sample means, population means, sampling distributions, and hypothesis testing distributions with clear rejection and fail-to-reject regions—to deepen students' conceptual understanding. Third, it implements automated, real-time grading of assignments to offer immediate feedback and improve learning efficiency. Lastly, it integrates analytics instruction with software, specifically Microsoft Excel, to perform calculations, utilizing a familiar platform to facilitate learning before transitioning to more advanced tools.</w:t>
      </w:r>
    </w:p>
    <w:p w14:paraId="71F82A01" w14:textId="1FCCDFE1" w:rsidR="0020321B" w:rsidRDefault="0020321B" w:rsidP="00C25DA5">
      <w:pPr>
        <w:pStyle w:val="Heading1"/>
      </w:pPr>
      <w:r>
        <w:t xml:space="preserve"> Introduction</w:t>
      </w:r>
    </w:p>
    <w:p w14:paraId="607FD357" w14:textId="567DC60E" w:rsidR="00B86B03" w:rsidRDefault="00B86B03" w:rsidP="00B86B03">
      <w:pPr>
        <w:pStyle w:val="Heading1"/>
        <w:rPr>
          <w:rFonts w:asciiTheme="minorHAnsi" w:eastAsiaTheme="minorHAnsi" w:hAnsiTheme="minorHAnsi" w:cstheme="minorBidi"/>
          <w:color w:val="auto"/>
          <w:sz w:val="24"/>
          <w:szCs w:val="24"/>
        </w:rPr>
      </w:pPr>
      <w:r w:rsidRPr="00B86B03">
        <w:rPr>
          <w:rFonts w:asciiTheme="minorHAnsi" w:eastAsiaTheme="minorHAnsi" w:hAnsiTheme="minorHAnsi" w:cstheme="minorBidi"/>
          <w:color w:val="auto"/>
          <w:sz w:val="24"/>
          <w:szCs w:val="24"/>
        </w:rPr>
        <w:t xml:space="preserve">In the rapidly evolving field of data analytics, achieving a deep conceptual understanding of advanced topics poses a significant challenge. Traditional educational tools often limit students' ability to illustrate these concepts through visual representations. Consequently, we've observed that some students who perform well in analytics courses still emerge with a limited grasp of the underlying concepts. They can apply formulas mechanically but struggle to internalize and articulate key statistical ideas. This is concerning because students may believe they understand the material when they </w:t>
      </w:r>
      <w:proofErr w:type="gramStart"/>
      <w:r w:rsidRPr="00B86B03">
        <w:rPr>
          <w:rFonts w:asciiTheme="minorHAnsi" w:eastAsiaTheme="minorHAnsi" w:hAnsiTheme="minorHAnsi" w:cstheme="minorBidi"/>
          <w:color w:val="auto"/>
          <w:sz w:val="24"/>
          <w:szCs w:val="24"/>
        </w:rPr>
        <w:t>actually do</w:t>
      </w:r>
      <w:proofErr w:type="gramEnd"/>
      <w:r w:rsidRPr="00B86B03">
        <w:rPr>
          <w:rFonts w:asciiTheme="minorHAnsi" w:eastAsiaTheme="minorHAnsi" w:hAnsiTheme="minorHAnsi" w:cstheme="minorBidi"/>
          <w:color w:val="auto"/>
          <w:sz w:val="24"/>
          <w:szCs w:val="24"/>
        </w:rPr>
        <w:t xml:space="preserve"> not.</w:t>
      </w:r>
    </w:p>
    <w:p w14:paraId="2E988BDB" w14:textId="77777777" w:rsidR="00B86B03" w:rsidRPr="00B86B03" w:rsidRDefault="00B86B03" w:rsidP="00075A67"/>
    <w:p w14:paraId="58A73C34" w14:textId="5585F3E4" w:rsidR="00823691" w:rsidRDefault="00B86B03" w:rsidP="0020321B">
      <w:r w:rsidRPr="00B86B03">
        <w:t xml:space="preserve">Our research aims to revolutionize analytics education by integrating artificial intelligence (AI) and automated learning tools to enhance both learning and assessment. By employing AI to generate diverse problem cases and automating tasks such as visualization and grading, we create an interactive and efficient learning environment. While advanced tools like Python, R, or Tableau are invaluable, starting with a familiar platform like Microsoft Excel—chosen </w:t>
      </w:r>
      <w:r w:rsidR="00CB3847">
        <w:t xml:space="preserve">in part </w:t>
      </w:r>
      <w:r w:rsidRPr="00B86B03">
        <w:t>for its compatibility with our automated grading system—provides an accessible foundation for students before they transition to more complex software.</w:t>
      </w:r>
      <w:r>
        <w:t xml:space="preserve"> </w:t>
      </w:r>
      <w:r w:rsidR="00251248">
        <w:fldChar w:fldCharType="begin"/>
      </w:r>
      <w:r w:rsidR="00251248">
        <w:instrText xml:space="preserve"> ADDIN EN.CITE &lt;EndNote&gt;&lt;Cite&gt;&lt;Author&gt;Mansour&lt;/Author&gt;&lt;RecNum&gt;96&lt;/RecNum&gt;&lt;DisplayText&gt;(Mansour, Aly, &amp;amp; Gheith)&lt;/DisplayText&gt;&lt;record&gt;&lt;rec-number&gt;96&lt;/rec-number&gt;&lt;foreign-keys&gt;&lt;key app="EN" db-id="espxd0ed7psseye9xspxvwdk0pvs2pwd0rdw" timestamp="1727576482"&gt;96&lt;/key&gt;&lt;/foreign-keys&gt;&lt;ref-type name="Journal Article"&gt;17&lt;/ref-type&gt;&lt;contributors&gt;&lt;authors&gt;&lt;author&gt;Mansour, Mohamed Fakhry&lt;/author&gt;&lt;author&gt;Aly, Tarek&lt;/author&gt;&lt;author&gt;Gheith, Mervat&lt;/author&gt;&lt;/authors&gt;&lt;/contributors&gt;&lt;titles&gt;&lt;title&gt;Python Based End User Computing Framework to Empowering Excel Efficiency&lt;/title&gt;&lt;/titles&gt;&lt;dates&gt;&lt;/dates&gt;&lt;urls&gt;&lt;related-urls&gt;&lt;url&gt;https://www.ijraset.com/best-journal/python-based-end-user-computing-framework-to-empowering-excel-efficiency&lt;/url&gt;&lt;/related-urls&gt;&lt;/urls&gt;&lt;/record&gt;&lt;/Cite&gt;&lt;/EndNote&gt;</w:instrText>
      </w:r>
      <w:r w:rsidR="00251248">
        <w:fldChar w:fldCharType="separate"/>
      </w:r>
      <w:r w:rsidR="00251248">
        <w:rPr>
          <w:noProof/>
        </w:rPr>
        <w:t>(Mansour, Aly, &amp; Gheith)</w:t>
      </w:r>
      <w:r w:rsidR="00251248">
        <w:fldChar w:fldCharType="end"/>
      </w:r>
      <w:r w:rsidR="0020321B">
        <w:t>.</w:t>
      </w:r>
    </w:p>
    <w:p w14:paraId="4FE08EF6" w14:textId="09D5CC3F" w:rsidR="0020321B" w:rsidRDefault="0020321B" w:rsidP="00C25DA5">
      <w:pPr>
        <w:pStyle w:val="Heading1"/>
      </w:pPr>
      <w:r>
        <w:lastRenderedPageBreak/>
        <w:t xml:space="preserve"> </w:t>
      </w:r>
      <w:r w:rsidR="00075A67">
        <w:t>Objective</w:t>
      </w:r>
      <w:r>
        <w:t xml:space="preserve"> 1: Case Generation Using Artificial Intelligence</w:t>
      </w:r>
    </w:p>
    <w:p w14:paraId="082129EA" w14:textId="0EEA4261" w:rsidR="00B86B03" w:rsidRPr="00B86B03" w:rsidRDefault="00B86B03" w:rsidP="00B86B03">
      <w:pPr>
        <w:pStyle w:val="Heading1"/>
        <w:rPr>
          <w:rFonts w:asciiTheme="minorHAnsi" w:eastAsiaTheme="minorHAnsi" w:hAnsiTheme="minorHAnsi" w:cstheme="minorBidi"/>
          <w:color w:val="auto"/>
          <w:sz w:val="24"/>
          <w:szCs w:val="24"/>
        </w:rPr>
      </w:pPr>
      <w:r w:rsidRPr="00B86B03">
        <w:rPr>
          <w:rFonts w:asciiTheme="minorHAnsi" w:eastAsiaTheme="minorHAnsi" w:hAnsiTheme="minorHAnsi" w:cstheme="minorBidi"/>
          <w:color w:val="auto"/>
          <w:sz w:val="24"/>
          <w:szCs w:val="24"/>
        </w:rPr>
        <w:t xml:space="preserve">Engagement is crucial for students to develop a conceptual understanding of statistics. To foster this engagement, artificial intelligence plays a pivotal role in modernizing analytics education by generating diverse problem cases (Rhem, 2023). By leveraging AI algorithms, we create a wide array of problems that adapt to </w:t>
      </w:r>
      <w:r w:rsidR="00705338">
        <w:rPr>
          <w:rFonts w:asciiTheme="minorHAnsi" w:eastAsiaTheme="minorHAnsi" w:hAnsiTheme="minorHAnsi" w:cstheme="minorBidi"/>
          <w:color w:val="auto"/>
          <w:sz w:val="24"/>
          <w:szCs w:val="24"/>
        </w:rPr>
        <w:t>the students’</w:t>
      </w:r>
      <w:r w:rsidRPr="00B86B03">
        <w:rPr>
          <w:rFonts w:asciiTheme="minorHAnsi" w:eastAsiaTheme="minorHAnsi" w:hAnsiTheme="minorHAnsi" w:cstheme="minorBidi"/>
          <w:color w:val="auto"/>
          <w:sz w:val="24"/>
          <w:szCs w:val="24"/>
        </w:rPr>
        <w:t xml:space="preserve"> proficiency level, ensuring a tailored learning experience that keeps students involved and covers a broader spectrum of analytical scenarios (Dankar &amp; Ibrahim, 2021).</w:t>
      </w:r>
    </w:p>
    <w:p w14:paraId="05D8C78E" w14:textId="18F815EA" w:rsidR="00B86B03" w:rsidRDefault="00705338" w:rsidP="00CB3847">
      <w:pPr>
        <w:pStyle w:val="Heading1"/>
        <w:keepNext w:val="0"/>
        <w:keepLines w:val="0"/>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AI systems, such as ChatGPT,</w:t>
      </w:r>
      <w:r w:rsidR="00B86B03" w:rsidRPr="00B86B03">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 xml:space="preserve">can </w:t>
      </w:r>
      <w:r w:rsidR="00B86B03" w:rsidRPr="00B86B03">
        <w:rPr>
          <w:rFonts w:asciiTheme="minorHAnsi" w:eastAsiaTheme="minorHAnsi" w:hAnsiTheme="minorHAnsi" w:cstheme="minorBidi"/>
          <w:color w:val="auto"/>
          <w:sz w:val="24"/>
          <w:szCs w:val="24"/>
        </w:rPr>
        <w:t>utilize known population parameters to generate synthetic datasets that mirror real-world situations. By employing statistical parameters—such as means, variances, and distributions—from real populations, the AI engine creates datasets for hypothesis testing. This approach ensures the synthetic data preserves the inherent properties of real-world data, making the learning experience more authentic and practical. For instance, using a known population mean and standard deviation, the AI can produce multiple datasets that require students to perform hypothesis testing on data that could reasonably have originated from these populations (Dankar &amp; Ibrahim, 2021).</w:t>
      </w:r>
    </w:p>
    <w:p w14:paraId="0E343398" w14:textId="77777777" w:rsidR="00705338" w:rsidRPr="00705338" w:rsidRDefault="00705338" w:rsidP="00075A67"/>
    <w:p w14:paraId="56244FD5" w14:textId="789252CD" w:rsidR="0020321B" w:rsidRDefault="00B86B03" w:rsidP="0020321B">
      <w:r w:rsidRPr="00B86B03">
        <w:t xml:space="preserve">To further enhance the learning experience, our automated grading software </w:t>
      </w:r>
      <w:r w:rsidR="00705338">
        <w:t>safeguards academic integrity. Each student receives a slightly</w:t>
      </w:r>
      <w:r w:rsidRPr="00B86B03">
        <w:t xml:space="preserve"> different version of </w:t>
      </w:r>
      <w:r w:rsidR="00705338">
        <w:t xml:space="preserve">the workbook. </w:t>
      </w:r>
      <w:r w:rsidRPr="00B86B03">
        <w:t xml:space="preserve">By making subtle adjustments to the data that maintain the overall statistical conclusions and population parameters, we ensure that while all students are assessed on identical concepts, they work with distinct datasets. This strategy promotes independent work and upholds academic integrity without compromising the educational value or intended learning outcomes. </w:t>
      </w:r>
    </w:p>
    <w:p w14:paraId="00F5F352" w14:textId="01641109" w:rsidR="0020321B" w:rsidRDefault="0020321B" w:rsidP="00C25DA5">
      <w:pPr>
        <w:pStyle w:val="Heading1"/>
      </w:pPr>
      <w:r>
        <w:t xml:space="preserve"> </w:t>
      </w:r>
      <w:r w:rsidR="00075A67">
        <w:t>Objective</w:t>
      </w:r>
      <w:r>
        <w:t xml:space="preserve"> 2: Real-Time Visualization of Statistical Data</w:t>
      </w:r>
    </w:p>
    <w:p w14:paraId="157B710F" w14:textId="53B4CDD8" w:rsidR="00705338" w:rsidRPr="00705338" w:rsidRDefault="00705338" w:rsidP="00705338">
      <w:pPr>
        <w:pStyle w:val="Heading1"/>
        <w:rPr>
          <w:rFonts w:asciiTheme="minorHAnsi" w:eastAsiaTheme="minorHAnsi" w:hAnsiTheme="minorHAnsi" w:cstheme="minorBidi"/>
          <w:color w:val="auto"/>
          <w:sz w:val="24"/>
          <w:szCs w:val="24"/>
        </w:rPr>
      </w:pPr>
      <w:r w:rsidRPr="00705338">
        <w:rPr>
          <w:rFonts w:asciiTheme="minorHAnsi" w:eastAsiaTheme="minorHAnsi" w:hAnsiTheme="minorHAnsi" w:cstheme="minorBidi"/>
          <w:color w:val="auto"/>
          <w:sz w:val="24"/>
          <w:szCs w:val="24"/>
        </w:rPr>
        <w:t>Visualization is a cornerstone in comprehending statistical concepts (Liu, Salvendry, &amp; Kuczek, 1999). However, with the shift towards digital learning software in many introductory courses (e.g., McGraw Hill Connect), the practice of drawing graphs and distributions has diminished. To bridge the gap between abstract theory and practical understanding, we introduce tools that automatically generate real-time visualizations of both descriptive and inferential statistics. As students input their calculations, dynamic and interactive graphs are constructed, providing immediate visual feedback on concepts such as sample means, population means, sampling distributions, and hypothesis testing regions. This visualization process resembles an animation, with each data point and curve appearing successively as students complete their calculations.</w:t>
      </w:r>
    </w:p>
    <w:p w14:paraId="7A529131" w14:textId="0EC52F90" w:rsidR="00705338" w:rsidRPr="00705338" w:rsidRDefault="00705338" w:rsidP="00CB3847">
      <w:pPr>
        <w:pStyle w:val="Heading1"/>
        <w:keepNext w:val="0"/>
        <w:keepLines w:val="0"/>
        <w:rPr>
          <w:rFonts w:asciiTheme="minorHAnsi" w:eastAsiaTheme="minorHAnsi" w:hAnsiTheme="minorHAnsi" w:cstheme="minorBidi"/>
          <w:color w:val="auto"/>
          <w:sz w:val="24"/>
          <w:szCs w:val="24"/>
        </w:rPr>
      </w:pPr>
      <w:r w:rsidRPr="00705338">
        <w:rPr>
          <w:rFonts w:asciiTheme="minorHAnsi" w:eastAsiaTheme="minorHAnsi" w:hAnsiTheme="minorHAnsi" w:cstheme="minorBidi"/>
          <w:color w:val="auto"/>
          <w:sz w:val="24"/>
          <w:szCs w:val="24"/>
        </w:rPr>
        <w:t xml:space="preserve">These real-time visualizations empower students to explore "what-if" scenarios by manipulating key variables like standard deviations or sample sizes and observing the </w:t>
      </w:r>
      <w:r w:rsidRPr="00705338">
        <w:rPr>
          <w:rFonts w:asciiTheme="minorHAnsi" w:eastAsiaTheme="minorHAnsi" w:hAnsiTheme="minorHAnsi" w:cstheme="minorBidi"/>
          <w:color w:val="auto"/>
          <w:sz w:val="24"/>
          <w:szCs w:val="24"/>
        </w:rPr>
        <w:lastRenderedPageBreak/>
        <w:t>resulting effects on the graphs (Liu et al., 1999). For example, when conducting a two-sample t-test, students can adjust the means and variances of the samples and instantly see how these changes affect the t-distribution, p-values, and whether the calculated value falls within the rejection region. This interactive approach enhances conceptual understanding by making the consequences of statistical decisions immediately visible (Marasinghe, Meeker, Cook, &amp; Shin, 1996).</w:t>
      </w:r>
    </w:p>
    <w:p w14:paraId="260E415A" w14:textId="03E021F5" w:rsidR="00705338" w:rsidRDefault="00705338" w:rsidP="00CB3847">
      <w:pPr>
        <w:pStyle w:val="Heading1"/>
        <w:keepNext w:val="0"/>
        <w:keepLines w:val="0"/>
        <w:rPr>
          <w:rFonts w:asciiTheme="minorHAnsi" w:eastAsiaTheme="minorHAnsi" w:hAnsiTheme="minorHAnsi" w:cstheme="minorBidi"/>
          <w:color w:val="auto"/>
          <w:sz w:val="24"/>
          <w:szCs w:val="24"/>
        </w:rPr>
      </w:pPr>
      <w:r w:rsidRPr="00705338">
        <w:rPr>
          <w:rFonts w:asciiTheme="minorHAnsi" w:eastAsiaTheme="minorHAnsi" w:hAnsiTheme="minorHAnsi" w:cstheme="minorBidi"/>
          <w:color w:val="auto"/>
          <w:sz w:val="24"/>
          <w:szCs w:val="24"/>
        </w:rPr>
        <w:t>Furthermore, integrating visualization with automated grading provides students with confirmation that their graphs are correct, reinforcing learning and building confidence. According to the Guidelines for Assessment and Instruction in Statistics Education (GAISE), technology should not merely generate statistical output but should serve as a medium to explore and internalize conceptual ideas through visualization and simulation (Franklin et al., 2007). By incorporating conceptual questions into worksheets with visualizations, we encourage students to interact with the "what-if" scenarios. These questions shift the focus from merely obtaining the right answer to understanding the conceptual impact of value changes, leading to a deeper overall understanding. Our approach aligns with this philosophy, utilizing automated real-time visualization to deepen students' grasp of complex statistical concepts.</w:t>
      </w:r>
    </w:p>
    <w:p w14:paraId="7AB01EEE" w14:textId="77777777" w:rsidR="00705338" w:rsidRPr="00705338" w:rsidRDefault="00705338" w:rsidP="00075A67"/>
    <w:p w14:paraId="330F8F2D" w14:textId="11901E52" w:rsidR="0020321B" w:rsidRDefault="00705338" w:rsidP="0020321B">
      <w:r w:rsidRPr="00705338">
        <w:t>Moreover, real-time visualization offers significant benefits for educators. It enables instructors to present "what-if" scenarios that challenge students to think critically about statistical concepts. By manipulating key variables such as standard deviations or sample sizes during live demonstrations, educators can illustrate the direct impact these changes have on outcomes like t-distributions and p-values. This dynamic approach fosters deeper engagement, allowing instructors to guide students through complex decision-making processes while reinforcing theoretical concepts with immediate, tangible feedback. Additionally, it enables educators to assess student comprehension in real-time, adapting their instruction as needed to address misunderstandings.</w:t>
      </w:r>
    </w:p>
    <w:p w14:paraId="76F48963" w14:textId="2E26EF2C" w:rsidR="0020321B" w:rsidRDefault="0020321B" w:rsidP="00C25DA5">
      <w:pPr>
        <w:pStyle w:val="Heading1"/>
      </w:pPr>
      <w:r>
        <w:t xml:space="preserve"> </w:t>
      </w:r>
      <w:r w:rsidR="00075A67">
        <w:t>Objective</w:t>
      </w:r>
      <w:r>
        <w:t xml:space="preserve"> 3: Real-Time Grading of Assignments</w:t>
      </w:r>
    </w:p>
    <w:p w14:paraId="5FEBF51F" w14:textId="32DB811E" w:rsidR="00705338" w:rsidRPr="00705338" w:rsidRDefault="00705338" w:rsidP="00705338">
      <w:pPr>
        <w:pStyle w:val="Heading1"/>
        <w:rPr>
          <w:rFonts w:asciiTheme="minorHAnsi" w:eastAsiaTheme="minorHAnsi" w:hAnsiTheme="minorHAnsi" w:cstheme="minorBidi"/>
          <w:color w:val="auto"/>
          <w:sz w:val="24"/>
          <w:szCs w:val="24"/>
        </w:rPr>
      </w:pPr>
      <w:r w:rsidRPr="00705338">
        <w:rPr>
          <w:rFonts w:asciiTheme="minorHAnsi" w:eastAsiaTheme="minorHAnsi" w:hAnsiTheme="minorHAnsi" w:cstheme="minorBidi"/>
          <w:color w:val="auto"/>
          <w:sz w:val="24"/>
          <w:szCs w:val="24"/>
        </w:rPr>
        <w:t>Timely feedback is crucial in the learning process, particularly in subjects that require iterative problem-solving like analytics (Bajaj, Kaur, Arora, &amp; Singh, 2018). Recognizing this need, we have developed an automated grading system known as Scoreboard (*citation suppressed to obscure the identity of authors). Scoreboard provides real-time assessments of student assignments, evaluating various aspects of their work—including the accuracy of calculations, the correctness of formula usage, and the interpretation of data.</w:t>
      </w:r>
    </w:p>
    <w:p w14:paraId="5A0264C0" w14:textId="19D44E33" w:rsidR="00705338" w:rsidRDefault="00705338" w:rsidP="00CB3847">
      <w:pPr>
        <w:pStyle w:val="Heading1"/>
        <w:keepNext w:val="0"/>
        <w:keepLines w:val="0"/>
        <w:rPr>
          <w:rFonts w:asciiTheme="minorHAnsi" w:eastAsiaTheme="minorHAnsi" w:hAnsiTheme="minorHAnsi" w:cstheme="minorBidi"/>
          <w:color w:val="auto"/>
          <w:sz w:val="24"/>
          <w:szCs w:val="24"/>
        </w:rPr>
      </w:pPr>
      <w:r w:rsidRPr="00705338">
        <w:rPr>
          <w:rFonts w:asciiTheme="minorHAnsi" w:eastAsiaTheme="minorHAnsi" w:hAnsiTheme="minorHAnsi" w:cstheme="minorBidi"/>
          <w:color w:val="auto"/>
          <w:sz w:val="24"/>
          <w:szCs w:val="24"/>
        </w:rPr>
        <w:t xml:space="preserve">By offering immediate feedback, Scoreboard enables students to quickly identify and rectify mistakes, leading to a deeper understanding of the material. This immediate correction loop enhances learning efficiency and helps prevent the reinforcement of </w:t>
      </w:r>
      <w:r w:rsidRPr="00705338">
        <w:rPr>
          <w:rFonts w:asciiTheme="minorHAnsi" w:eastAsiaTheme="minorHAnsi" w:hAnsiTheme="minorHAnsi" w:cstheme="minorBidi"/>
          <w:color w:val="auto"/>
          <w:sz w:val="24"/>
          <w:szCs w:val="24"/>
        </w:rPr>
        <w:lastRenderedPageBreak/>
        <w:t>misconceptions (Bajaj et al., 2018). Additionally, the system reduces the grading burden on faculty, allowing them to focus more on instructional activities rather than administrative tasks.</w:t>
      </w:r>
    </w:p>
    <w:p w14:paraId="1D014DEE" w14:textId="77777777" w:rsidR="00705338" w:rsidRPr="00705338" w:rsidRDefault="00705338" w:rsidP="00075A67"/>
    <w:p w14:paraId="517B3DB1" w14:textId="4ABA78B0" w:rsidR="0020321B" w:rsidRDefault="00705338" w:rsidP="0020321B">
      <w:r w:rsidRPr="00705338">
        <w:t>Moreover, Scoreboard incorporates integrity controls to uphold academic honesty. It assigns unique problem sets to each student to minimize opportunities for cheating and can detect patterns indicative of dishonest practices, such as copying solutions. The widespread adoption of Scoreboard by over two dozen universities worldwide attests to its effectiveness in enhancing both the learning experience and the administrative efficiency of analytics education.</w:t>
      </w:r>
    </w:p>
    <w:p w14:paraId="7FFA7E9C" w14:textId="1BD9D470" w:rsidR="0020321B" w:rsidRDefault="0020321B" w:rsidP="00C25DA5">
      <w:pPr>
        <w:pStyle w:val="Heading1"/>
      </w:pPr>
      <w:r>
        <w:t xml:space="preserve"> </w:t>
      </w:r>
      <w:r w:rsidR="00075A67">
        <w:t>Objective</w:t>
      </w:r>
      <w:r>
        <w:t xml:space="preserve"> 4: Teaching Analytics Using Microsoft Excel</w:t>
      </w:r>
    </w:p>
    <w:p w14:paraId="59B7F790" w14:textId="1D8C164B" w:rsidR="00B451DD" w:rsidRPr="00B451DD" w:rsidRDefault="00B451DD" w:rsidP="00B451DD">
      <w:pPr>
        <w:pStyle w:val="Heading1"/>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Teaching analytics using Excel offers multiple advantages, including leveraging a familiar platform, scaffolding complex formulas, dynamically updating templates, and integrating with automated grading systems.</w:t>
      </w:r>
    </w:p>
    <w:p w14:paraId="1FDF8164" w14:textId="2943584B" w:rsidR="00B451DD" w:rsidRP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According to the Guidelines for Assessment and Instruction in Statistics Education (GAISE), educators should avoid teaching both the tool and the statistical concepts simultaneously (Franklin et al., 2007). Excel's widespread use in industry makes it a practical choice for introductory courses, allowing students to focus on understanding statistical concepts without the added complexity of learning new software (Warner &amp; Meehan, 2001). By utilizing a familiar environment, students can build confidence and reinforce their theoretical knowledge and problem-solving skills before transitioning to more advanced tools like Python, R, or Tableau.</w:t>
      </w:r>
    </w:p>
    <w:p w14:paraId="5C9F21F3" w14:textId="23D08009" w:rsidR="00B451DD" w:rsidRP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 xml:space="preserve">Faculty can scaffold complex formulas within Excel to support student learning. For example, while Excel provides functions like </w:t>
      </w:r>
      <w:proofErr w:type="gramStart"/>
      <w:r w:rsidRPr="00B451DD">
        <w:rPr>
          <w:rFonts w:asciiTheme="minorHAnsi" w:eastAsiaTheme="minorHAnsi" w:hAnsiTheme="minorHAnsi" w:cstheme="minorBidi"/>
          <w:color w:val="auto"/>
          <w:sz w:val="24"/>
          <w:szCs w:val="24"/>
        </w:rPr>
        <w:t>`NORM.S.DIST</w:t>
      </w:r>
      <w:proofErr w:type="gramEnd"/>
      <w:r w:rsidRPr="00B451DD">
        <w:rPr>
          <w:rFonts w:asciiTheme="minorHAnsi" w:eastAsiaTheme="minorHAnsi" w:hAnsiTheme="minorHAnsi" w:cstheme="minorBidi"/>
          <w:color w:val="auto"/>
          <w:sz w:val="24"/>
          <w:szCs w:val="24"/>
        </w:rPr>
        <w:t>` to calculate the probability of a Z-score, it may lack built-in functions for calculations such as pooled variance. In these cases, instructors can embed the necessary formulas into the worksheet early in the learning cycle. As students' comprehension increases, they can be required to perform these calculations independently.</w:t>
      </w:r>
    </w:p>
    <w:p w14:paraId="220ECE89" w14:textId="21F6D6ED" w:rsidR="00B451DD" w:rsidRP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Conceptual understanding is further enhanced when templates specifically reference data values. Using descriptive labels like "East Division mean" instead of "x̄₁" in calculations and graphs helps bridge gaps in student comprehension. This specificity makes statistical concepts more relatable and easier to grasp.</w:t>
      </w:r>
    </w:p>
    <w:p w14:paraId="43D121DA" w14:textId="282F7115" w:rsidR="00B451DD" w:rsidRP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 xml:space="preserve">Students often face challenges transitioning from raw data to standardized values and back in statistical tests. While statistical tests are performed on standardized values, conclusions—including confidence intervals for the population mean—relate back to the </w:t>
      </w:r>
      <w:r w:rsidRPr="00B451DD">
        <w:rPr>
          <w:rFonts w:asciiTheme="minorHAnsi" w:eastAsiaTheme="minorHAnsi" w:hAnsiTheme="minorHAnsi" w:cstheme="minorBidi"/>
          <w:color w:val="auto"/>
          <w:sz w:val="24"/>
          <w:szCs w:val="24"/>
        </w:rPr>
        <w:lastRenderedPageBreak/>
        <w:t xml:space="preserve">raw data. To address </w:t>
      </w:r>
      <w:proofErr w:type="gramStart"/>
      <w:r w:rsidRPr="00B451DD">
        <w:rPr>
          <w:rFonts w:asciiTheme="minorHAnsi" w:eastAsiaTheme="minorHAnsi" w:hAnsiTheme="minorHAnsi" w:cstheme="minorBidi"/>
          <w:color w:val="auto"/>
          <w:sz w:val="24"/>
          <w:szCs w:val="24"/>
        </w:rPr>
        <w:t>this</w:t>
      </w:r>
      <w:proofErr w:type="gramEnd"/>
      <w:r w:rsidRPr="00B451DD">
        <w:rPr>
          <w:rFonts w:asciiTheme="minorHAnsi" w:eastAsiaTheme="minorHAnsi" w:hAnsiTheme="minorHAnsi" w:cstheme="minorBidi"/>
          <w:color w:val="auto"/>
          <w:sz w:val="24"/>
          <w:szCs w:val="24"/>
        </w:rPr>
        <w:t xml:space="preserve"> disconnect, we include two graphs of the sampling distribution of sample mean differences that mirror each other: one displaying raw data values on the x-axis and the other showing standardized values. By creating conceptual links between the graphs, such as plotting standard errors on the raw data graph, students can more easily make connections between the two representations.</w:t>
      </w:r>
    </w:p>
    <w:p w14:paraId="0FD187E4" w14:textId="77777777" w:rsidR="00292DC5"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 xml:space="preserve">Updating templates for each new problem can be tedious and error-prone for faculty. However, by leveraging Excel's text and logic functions, we can automate prompts, calculations, and dropdown lists to generate automatically as values change with each new problem. This dynamic updating allows for quick creation of new assignments with minimal customization effort. </w:t>
      </w:r>
    </w:p>
    <w:p w14:paraId="7D9AFF52" w14:textId="21B09F07" w:rsid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During our presentation, we will demonstrate how to create new problems rapidly and will distribute sample exercises to participants. Scoreboard is free for academic use, and we will show interested parties how to customize their own exercises.</w:t>
      </w:r>
    </w:p>
    <w:p w14:paraId="739BFB20" w14:textId="77777777" w:rsidR="00B451DD" w:rsidRPr="00B451DD" w:rsidRDefault="00B451DD" w:rsidP="00075A67"/>
    <w:p w14:paraId="230C9C5B" w14:textId="60C48595" w:rsidR="0020321B" w:rsidRDefault="00B451DD" w:rsidP="0020321B">
      <w:r w:rsidRPr="00B451DD">
        <w:t>Excel is strategically utilized because it seamlessly integrates with our automated grading system, Scoreboard. This system provides real-time feedback as students enter their solutions in the worksheet's cells. Consequently, students receive immediate confirmation that their values are correct while simultaneously seeing those values visualized in graphs. This immediate feedback enhances understanding and builds confidence in the material.</w:t>
      </w:r>
    </w:p>
    <w:p w14:paraId="35D71531" w14:textId="35C68D27" w:rsidR="0020321B" w:rsidRDefault="0020321B" w:rsidP="00C25DA5">
      <w:pPr>
        <w:pStyle w:val="Heading1"/>
      </w:pPr>
      <w:r>
        <w:t xml:space="preserve"> Conclusion</w:t>
      </w:r>
    </w:p>
    <w:p w14:paraId="2C38AE38" w14:textId="40C16726" w:rsidR="0020321B" w:rsidRDefault="0020321B" w:rsidP="0020321B">
      <w:r>
        <w:t xml:space="preserve">By integrating these four </w:t>
      </w:r>
      <w:r w:rsidR="00075A67">
        <w:t>objective</w:t>
      </w:r>
      <w:r>
        <w:t xml:space="preserve">s—AI-generated problem prompts, </w:t>
      </w:r>
      <w:r w:rsidR="00F92F68">
        <w:t>animated</w:t>
      </w:r>
      <w:r>
        <w:t xml:space="preserve"> real-time visualization, automated real-time grading, and the strategic use of Excel—we aim to revolutionize analytics education. The combination of artificial intelligence and automated learning tools creates an interactive and efficient learning environment that enhances student engagement, reinforces conceptual understanding, and upholds academic integrity. This comprehensive approach not only equips students with the necessary skills and knowledge to succeed in the dynamic field of data analytics but also prepares them to utilize more advanced analytical tools in their future careers.</w:t>
      </w:r>
    </w:p>
    <w:p w14:paraId="58D13BB8" w14:textId="77777777" w:rsidR="00C25DA5" w:rsidRDefault="00C25DA5" w:rsidP="0020321B"/>
    <w:p w14:paraId="76F3FA6C" w14:textId="6126242E" w:rsidR="0020321B" w:rsidRDefault="00823691" w:rsidP="00C25DA5">
      <w:pPr>
        <w:pStyle w:val="Heading1"/>
      </w:pPr>
      <w:r>
        <w:lastRenderedPageBreak/>
        <w:t>Example</w:t>
      </w:r>
      <w:r w:rsidR="00C25DA5">
        <w:t xml:space="preserve"> Assignment</w:t>
      </w:r>
    </w:p>
    <w:p w14:paraId="4872E0AF" w14:textId="687B045E" w:rsidR="00B451DD" w:rsidRPr="00B451DD" w:rsidRDefault="00B451DD" w:rsidP="00B451DD">
      <w:pPr>
        <w:pStyle w:val="Heading1"/>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To illustrate our system in action, we include an example assignment below. While the screenshots encompass both calculations and graphs on the same worksheet, we've separated them here for clarity.</w:t>
      </w:r>
    </w:p>
    <w:p w14:paraId="19B4D886" w14:textId="22334682" w:rsidR="00B451DD" w:rsidRP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We begin with the prompt and the calculations. Students are instructed to use Excel formulas or functions to compute every cell containing a number. The example shown represents a perfectly completed assignment. If students make a mistake during the assignment, the corresponding cell turns pink and provides feedback—such as indicating whether the value is too high or too low, if a reference is missing, or if the format is incorrect—to guide them toward the correct answer. For cells requiring text input, we incorporate dropdown lists with distractors that are automatically customized to include relevant subjects from the prompt.</w:t>
      </w:r>
    </w:p>
    <w:p w14:paraId="2F464303" w14:textId="61700E7F" w:rsidR="00B451DD" w:rsidRP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The first two graphs provide a highly stylized representation of what it means to reject or fail to reject the null hypothesis. These are static images because dynamically rendering them consumes excessive Excel resources. We include these graphs because students often struggle to understand that while the test's inference is based on the difference in sample means, the conclusion pertains to the population, not just the sample.</w:t>
      </w:r>
    </w:p>
    <w:p w14:paraId="631CB110" w14:textId="0FE9B7B4" w:rsidR="00B451DD" w:rsidRDefault="00B451DD" w:rsidP="00CB3847">
      <w:pPr>
        <w:pStyle w:val="Heading1"/>
        <w:keepNext w:val="0"/>
        <w:keepLines w:val="0"/>
        <w:rPr>
          <w:rFonts w:asciiTheme="minorHAnsi" w:eastAsiaTheme="minorHAnsi" w:hAnsiTheme="minorHAnsi" w:cstheme="minorBidi"/>
          <w:color w:val="auto"/>
          <w:sz w:val="24"/>
          <w:szCs w:val="24"/>
        </w:rPr>
      </w:pPr>
      <w:r w:rsidRPr="00B451DD">
        <w:rPr>
          <w:rFonts w:asciiTheme="minorHAnsi" w:eastAsiaTheme="minorHAnsi" w:hAnsiTheme="minorHAnsi" w:cstheme="minorBidi"/>
          <w:color w:val="auto"/>
          <w:sz w:val="24"/>
          <w:szCs w:val="24"/>
        </w:rPr>
        <w:t xml:space="preserve">The next two graphs are dynamic and update in real time as students progress through their calculations. Each time a new step is completed, the graphs redraw accordingly. This functionality allows students to explore "what-if" scenarios by varying key variables and observing the resulting effects. </w:t>
      </w:r>
    </w:p>
    <w:p w14:paraId="79B1C21C" w14:textId="77777777" w:rsidR="00B451DD" w:rsidRPr="00B451DD" w:rsidRDefault="00B451DD" w:rsidP="00075A67"/>
    <w:p w14:paraId="13DDF212" w14:textId="0B2DD379" w:rsidR="00D24C4B" w:rsidRDefault="00B451DD" w:rsidP="0020321B">
      <w:r w:rsidRPr="00B451DD">
        <w:t>For example, problems with small sample sizes may yield insignificant results due to limited data. If students artificially increase the sample size within the spreadsheet, they can observe how the downstream calculations and graphs update to yield significant results. This hands-on manipulation emphasizes the importance of sample size more effectively than theoretical explanations alone. It also illustrates that with a sufficiently large sample, even trivial differences can become statistically significant. Both points are critical for business students to understand as consumers of statistical information.</w:t>
      </w:r>
    </w:p>
    <w:p w14:paraId="12A78A7A" w14:textId="2C59EF36" w:rsidR="000D458E" w:rsidRPr="007D701F" w:rsidRDefault="000D458E" w:rsidP="00A51E01">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1"/>
        <w:gridCol w:w="1519"/>
      </w:tblGrid>
      <w:tr w:rsidR="000D458E" w14:paraId="4D4A6B75" w14:textId="77777777" w:rsidTr="000D458E">
        <w:tc>
          <w:tcPr>
            <w:tcW w:w="4675" w:type="dxa"/>
          </w:tcPr>
          <w:p w14:paraId="2208EC30" w14:textId="77777777" w:rsidR="000D458E" w:rsidRDefault="000D458E" w:rsidP="000355F6">
            <w:r w:rsidRPr="000D458E">
              <w:rPr>
                <w:noProof/>
              </w:rPr>
              <w:lastRenderedPageBreak/>
              <w:drawing>
                <wp:inline distT="0" distB="0" distL="0" distR="0" wp14:anchorId="3B0945EA" wp14:editId="6DCBF6C0">
                  <wp:extent cx="4841875" cy="8229600"/>
                  <wp:effectExtent l="0" t="0" r="0" b="0"/>
                  <wp:docPr id="1787059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59088" name=""/>
                          <pic:cNvPicPr/>
                        </pic:nvPicPr>
                        <pic:blipFill>
                          <a:blip r:embed="rId12"/>
                          <a:stretch>
                            <a:fillRect/>
                          </a:stretch>
                        </pic:blipFill>
                        <pic:spPr>
                          <a:xfrm>
                            <a:off x="0" y="0"/>
                            <a:ext cx="4841875" cy="8229600"/>
                          </a:xfrm>
                          <a:prstGeom prst="rect">
                            <a:avLst/>
                          </a:prstGeom>
                        </pic:spPr>
                      </pic:pic>
                    </a:graphicData>
                  </a:graphic>
                </wp:inline>
              </w:drawing>
            </w:r>
          </w:p>
        </w:tc>
        <w:tc>
          <w:tcPr>
            <w:tcW w:w="4675" w:type="dxa"/>
          </w:tcPr>
          <w:p w14:paraId="4B59C0E8" w14:textId="0973CDB1" w:rsidR="000D458E" w:rsidRDefault="000D458E" w:rsidP="000355F6">
            <w:r w:rsidRPr="00411A72">
              <w:rPr>
                <w:noProof/>
              </w:rPr>
              <w:drawing>
                <wp:inline distT="0" distB="0" distL="0" distR="0" wp14:anchorId="3AA6C4FC" wp14:editId="2ADFCE8A">
                  <wp:extent cx="799537" cy="1189822"/>
                  <wp:effectExtent l="0" t="0" r="635" b="4445"/>
                  <wp:docPr id="2073623214"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75463" name="Picture 1" descr="A table with numbers and letters&#10;&#10;Description automatically generated"/>
                          <pic:cNvPicPr/>
                        </pic:nvPicPr>
                        <pic:blipFill rotWithShape="1">
                          <a:blip r:embed="rId13"/>
                          <a:srcRect l="24260"/>
                          <a:stretch/>
                        </pic:blipFill>
                        <pic:spPr bwMode="auto">
                          <a:xfrm>
                            <a:off x="0" y="0"/>
                            <a:ext cx="831189" cy="12369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1145AC0" w14:textId="77777777" w:rsidR="00823691" w:rsidRDefault="00823691" w:rsidP="0020321B"/>
    <w:p w14:paraId="08DAFD8B" w14:textId="1FD2735F" w:rsidR="0020321B" w:rsidRDefault="007D701F" w:rsidP="0020321B">
      <w:r w:rsidRPr="007D701F">
        <w:rPr>
          <w:noProof/>
        </w:rPr>
        <w:drawing>
          <wp:inline distT="0" distB="0" distL="0" distR="0" wp14:anchorId="67A0C453" wp14:editId="4797AE93">
            <wp:extent cx="5943600" cy="6731000"/>
            <wp:effectExtent l="0" t="0" r="0" b="0"/>
            <wp:docPr id="2096133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33505" name=""/>
                    <pic:cNvPicPr/>
                  </pic:nvPicPr>
                  <pic:blipFill>
                    <a:blip r:embed="rId14"/>
                    <a:stretch>
                      <a:fillRect/>
                    </a:stretch>
                  </pic:blipFill>
                  <pic:spPr>
                    <a:xfrm>
                      <a:off x="0" y="0"/>
                      <a:ext cx="5943600" cy="6731000"/>
                    </a:xfrm>
                    <a:prstGeom prst="rect">
                      <a:avLst/>
                    </a:prstGeom>
                  </pic:spPr>
                </pic:pic>
              </a:graphicData>
            </a:graphic>
          </wp:inline>
        </w:drawing>
      </w:r>
    </w:p>
    <w:p w14:paraId="64A11ADB" w14:textId="77777777" w:rsidR="00251248" w:rsidRDefault="00251248" w:rsidP="0020321B"/>
    <w:p w14:paraId="1F92EC61" w14:textId="77777777" w:rsidR="00251248" w:rsidRDefault="00251248" w:rsidP="0020321B"/>
    <w:p w14:paraId="2FF34440" w14:textId="77777777" w:rsidR="00C25DA5" w:rsidRDefault="00C25DA5">
      <w:r>
        <w:br w:type="page"/>
      </w:r>
    </w:p>
    <w:p w14:paraId="41BE70A1" w14:textId="2384723C" w:rsidR="00C25DA5" w:rsidRDefault="00C25DA5" w:rsidP="00C25DA5">
      <w:pPr>
        <w:pStyle w:val="Heading1"/>
      </w:pPr>
      <w:r>
        <w:lastRenderedPageBreak/>
        <w:t>Use of ChatGPT to Generate a Similar Prompt</w:t>
      </w:r>
    </w:p>
    <w:p w14:paraId="6167D189" w14:textId="77777777" w:rsidR="00C25DA5" w:rsidRPr="00932E76" w:rsidRDefault="00C25DA5" w:rsidP="00C25DA5">
      <w:r w:rsidRPr="00932E76">
        <w:rPr>
          <w:b/>
          <w:bCs/>
        </w:rPr>
        <w:t>Role</w:t>
      </w:r>
      <w:r>
        <w:t xml:space="preserve">: </w:t>
      </w:r>
      <w:r w:rsidRPr="00932E76">
        <w:t xml:space="preserve">You are a teacher designing a prompt for your students. Make a prompt </w:t>
      </w:r>
      <w:proofErr w:type="gramStart"/>
      <w:r w:rsidRPr="00932E76">
        <w:t>similar to</w:t>
      </w:r>
      <w:proofErr w:type="gramEnd"/>
      <w:r w:rsidRPr="00932E76">
        <w:t xml:space="preserve"> the one below subject to the following constraints:</w:t>
      </w:r>
    </w:p>
    <w:p w14:paraId="66DE616A" w14:textId="77777777" w:rsidR="00C25DA5" w:rsidRPr="00932E76" w:rsidRDefault="00C25DA5" w:rsidP="00C25DA5">
      <w:r w:rsidRPr="00932E76">
        <w:rPr>
          <w:b/>
          <w:bCs/>
        </w:rPr>
        <w:t>Context</w:t>
      </w:r>
      <w:r w:rsidRPr="00932E76">
        <w:t>: Business</w:t>
      </w:r>
    </w:p>
    <w:p w14:paraId="7C4C07E1" w14:textId="77777777" w:rsidR="00C25DA5" w:rsidRDefault="00C25DA5" w:rsidP="00C25DA5">
      <w:r w:rsidRPr="00932E76">
        <w:rPr>
          <w:b/>
          <w:bCs/>
        </w:rPr>
        <w:t>Type of test</w:t>
      </w:r>
      <w:r w:rsidRPr="00932E76">
        <w:t>: Two sample T with unequal variances</w:t>
      </w:r>
    </w:p>
    <w:p w14:paraId="0BD743EB" w14:textId="77777777" w:rsidR="00C25DA5" w:rsidRDefault="00C25DA5" w:rsidP="00C25DA5">
      <w:r w:rsidRPr="00932E76">
        <w:rPr>
          <w:b/>
          <w:bCs/>
        </w:rPr>
        <w:t>Conclusion</w:t>
      </w:r>
      <w:r>
        <w:t>: Fail to reject the null</w:t>
      </w:r>
    </w:p>
    <w:p w14:paraId="5C55478A" w14:textId="77777777" w:rsidR="00C25DA5" w:rsidRPr="00932E76" w:rsidRDefault="00C25DA5" w:rsidP="00C25DA5">
      <w:r w:rsidRPr="00932E76">
        <w:rPr>
          <w:b/>
          <w:bCs/>
        </w:rPr>
        <w:t>Data</w:t>
      </w:r>
      <w:r>
        <w:t>: Include test data in MS Excel format</w:t>
      </w:r>
    </w:p>
    <w:p w14:paraId="4EA669AD" w14:textId="77777777" w:rsidR="00C25DA5" w:rsidRPr="00932E76" w:rsidRDefault="00C25DA5" w:rsidP="00C25DA5">
      <w:r w:rsidRPr="00932E76">
        <w:rPr>
          <w:b/>
          <w:bCs/>
        </w:rPr>
        <w:t>Original prompt</w:t>
      </w:r>
      <w:r>
        <w:t xml:space="preserve">: </w:t>
      </w:r>
      <w:r w:rsidRPr="00932E76">
        <w:t>A software development company wants to determine if a new user interface (UI) design reduces the average time it takes users to complete a specific task compared to the old UI design. To investigate, the company randomly selected users and presented them with new and old UI's. Their completion times were recorded. At the 0.05 significance level, can the company conclude that the new UI design reduces the average task completion time? Assume that the population variances are unknown and unequal.</w:t>
      </w:r>
    </w:p>
    <w:p w14:paraId="102C07C4" w14:textId="77777777" w:rsidR="00C25DA5" w:rsidRDefault="00C25DA5"/>
    <w:p w14:paraId="7F020C92" w14:textId="77777777" w:rsidR="00C25DA5" w:rsidRDefault="00C25DA5" w:rsidP="00C25DA5">
      <w:pPr>
        <w:pStyle w:val="Heading2"/>
      </w:pPr>
      <w:r>
        <w:t>Response from ChatGPT</w:t>
      </w:r>
    </w:p>
    <w:p w14:paraId="53D48194" w14:textId="77777777" w:rsidR="00C25DA5" w:rsidRDefault="00C25DA5">
      <w:r w:rsidRPr="00C25DA5">
        <w:t>A retail company wants to determine if a new marketing strategy leads to a higher average weekly sales increase compared to the old marketing strategy. To investigate, the company randomly selected stores and applied either the new or old strategy. Their weekly sales increases were recorded. At the 0.05 significance level, can the company conclude that the new strategy leads to a higher average sales increase? Assume that the population variances are unknown and unequal.</w:t>
      </w:r>
    </w:p>
    <w:p w14:paraId="20C3E00A" w14:textId="77777777" w:rsidR="00C25DA5" w:rsidRDefault="00C25DA5"/>
    <w:p w14:paraId="3BF8880A" w14:textId="4317C189" w:rsidR="00C25DA5" w:rsidRDefault="00C25DA5" w:rsidP="00C25DA5">
      <w:pPr>
        <w:pStyle w:val="Heading2"/>
      </w:pPr>
      <w:r>
        <w:t>Sales Data from ChatGPT</w:t>
      </w:r>
    </w:p>
    <w:tbl>
      <w:tblPr>
        <w:tblStyle w:val="TableGrid"/>
        <w:tblW w:w="0" w:type="auto"/>
        <w:tblLook w:val="04A0" w:firstRow="1" w:lastRow="0" w:firstColumn="1" w:lastColumn="0" w:noHBand="0" w:noVBand="1"/>
      </w:tblPr>
      <w:tblGrid>
        <w:gridCol w:w="2480"/>
        <w:gridCol w:w="2480"/>
      </w:tblGrid>
      <w:tr w:rsidR="00C25DA5" w:rsidRPr="00C25DA5" w14:paraId="7C2495A8" w14:textId="77777777" w:rsidTr="00C25DA5">
        <w:trPr>
          <w:trHeight w:val="300"/>
        </w:trPr>
        <w:tc>
          <w:tcPr>
            <w:tcW w:w="2480" w:type="dxa"/>
            <w:noWrap/>
            <w:hideMark/>
          </w:tcPr>
          <w:p w14:paraId="6B10C441" w14:textId="10BB18D1" w:rsidR="00C25DA5" w:rsidRPr="00C25DA5" w:rsidRDefault="00C25DA5" w:rsidP="00C25DA5">
            <w:pPr>
              <w:rPr>
                <w:b/>
                <w:bCs/>
              </w:rPr>
            </w:pPr>
            <w:r w:rsidRPr="00C25DA5">
              <w:rPr>
                <w:b/>
                <w:bCs/>
              </w:rPr>
              <w:t>Old Strategy</w:t>
            </w:r>
          </w:p>
        </w:tc>
        <w:tc>
          <w:tcPr>
            <w:tcW w:w="2480" w:type="dxa"/>
            <w:noWrap/>
            <w:hideMark/>
          </w:tcPr>
          <w:p w14:paraId="7D45DC62" w14:textId="2D98940D" w:rsidR="00C25DA5" w:rsidRPr="00C25DA5" w:rsidRDefault="00C25DA5" w:rsidP="00C25DA5">
            <w:pPr>
              <w:rPr>
                <w:b/>
                <w:bCs/>
              </w:rPr>
            </w:pPr>
            <w:r w:rsidRPr="00C25DA5">
              <w:rPr>
                <w:b/>
                <w:bCs/>
              </w:rPr>
              <w:t>New Strategy</w:t>
            </w:r>
          </w:p>
        </w:tc>
      </w:tr>
      <w:tr w:rsidR="00C25DA5" w:rsidRPr="00C25DA5" w14:paraId="4F3ECFC2" w14:textId="77777777" w:rsidTr="00C25DA5">
        <w:trPr>
          <w:trHeight w:val="300"/>
        </w:trPr>
        <w:tc>
          <w:tcPr>
            <w:tcW w:w="2480" w:type="dxa"/>
            <w:noWrap/>
            <w:hideMark/>
          </w:tcPr>
          <w:p w14:paraId="228E4A31" w14:textId="77777777" w:rsidR="00C25DA5" w:rsidRPr="00C25DA5" w:rsidRDefault="00C25DA5" w:rsidP="00C25DA5">
            <w:r w:rsidRPr="00C25DA5">
              <w:t>5.2</w:t>
            </w:r>
          </w:p>
        </w:tc>
        <w:tc>
          <w:tcPr>
            <w:tcW w:w="2480" w:type="dxa"/>
            <w:noWrap/>
            <w:hideMark/>
          </w:tcPr>
          <w:p w14:paraId="47C0EC87" w14:textId="77777777" w:rsidR="00C25DA5" w:rsidRPr="00C25DA5" w:rsidRDefault="00C25DA5" w:rsidP="00C25DA5">
            <w:r w:rsidRPr="00C25DA5">
              <w:t>6.4</w:t>
            </w:r>
          </w:p>
        </w:tc>
      </w:tr>
      <w:tr w:rsidR="00C25DA5" w:rsidRPr="00C25DA5" w14:paraId="06652CFA" w14:textId="77777777" w:rsidTr="00C25DA5">
        <w:trPr>
          <w:trHeight w:val="300"/>
        </w:trPr>
        <w:tc>
          <w:tcPr>
            <w:tcW w:w="2480" w:type="dxa"/>
            <w:noWrap/>
            <w:hideMark/>
          </w:tcPr>
          <w:p w14:paraId="37B521B7" w14:textId="77777777" w:rsidR="00C25DA5" w:rsidRPr="00C25DA5" w:rsidRDefault="00C25DA5" w:rsidP="00C25DA5">
            <w:r w:rsidRPr="00C25DA5">
              <w:t>4.8</w:t>
            </w:r>
          </w:p>
        </w:tc>
        <w:tc>
          <w:tcPr>
            <w:tcW w:w="2480" w:type="dxa"/>
            <w:noWrap/>
            <w:hideMark/>
          </w:tcPr>
          <w:p w14:paraId="3ADB33F6" w14:textId="77777777" w:rsidR="00C25DA5" w:rsidRPr="00C25DA5" w:rsidRDefault="00C25DA5" w:rsidP="00C25DA5">
            <w:r w:rsidRPr="00C25DA5">
              <w:t>6.8</w:t>
            </w:r>
          </w:p>
        </w:tc>
      </w:tr>
      <w:tr w:rsidR="00C25DA5" w:rsidRPr="00C25DA5" w14:paraId="59DFCC13" w14:textId="77777777" w:rsidTr="00C25DA5">
        <w:trPr>
          <w:trHeight w:val="300"/>
        </w:trPr>
        <w:tc>
          <w:tcPr>
            <w:tcW w:w="2480" w:type="dxa"/>
            <w:noWrap/>
            <w:hideMark/>
          </w:tcPr>
          <w:p w14:paraId="727B26AB" w14:textId="77777777" w:rsidR="00C25DA5" w:rsidRPr="00C25DA5" w:rsidRDefault="00C25DA5" w:rsidP="00C25DA5">
            <w:r w:rsidRPr="00C25DA5">
              <w:t>5.5</w:t>
            </w:r>
          </w:p>
        </w:tc>
        <w:tc>
          <w:tcPr>
            <w:tcW w:w="2480" w:type="dxa"/>
            <w:noWrap/>
            <w:hideMark/>
          </w:tcPr>
          <w:p w14:paraId="798762A2" w14:textId="77777777" w:rsidR="00C25DA5" w:rsidRPr="00C25DA5" w:rsidRDefault="00C25DA5" w:rsidP="00C25DA5">
            <w:r w:rsidRPr="00C25DA5">
              <w:t>6.1</w:t>
            </w:r>
          </w:p>
        </w:tc>
      </w:tr>
      <w:tr w:rsidR="00C25DA5" w:rsidRPr="00C25DA5" w14:paraId="78B841FD" w14:textId="77777777" w:rsidTr="00C25DA5">
        <w:trPr>
          <w:trHeight w:val="300"/>
        </w:trPr>
        <w:tc>
          <w:tcPr>
            <w:tcW w:w="2480" w:type="dxa"/>
            <w:noWrap/>
            <w:hideMark/>
          </w:tcPr>
          <w:p w14:paraId="79A4CC0A" w14:textId="77777777" w:rsidR="00C25DA5" w:rsidRPr="00C25DA5" w:rsidRDefault="00C25DA5" w:rsidP="00C25DA5">
            <w:r w:rsidRPr="00C25DA5">
              <w:t>6</w:t>
            </w:r>
          </w:p>
        </w:tc>
        <w:tc>
          <w:tcPr>
            <w:tcW w:w="2480" w:type="dxa"/>
            <w:noWrap/>
            <w:hideMark/>
          </w:tcPr>
          <w:p w14:paraId="4234A55A" w14:textId="77777777" w:rsidR="00C25DA5" w:rsidRPr="00C25DA5" w:rsidRDefault="00C25DA5" w:rsidP="00C25DA5">
            <w:r w:rsidRPr="00C25DA5">
              <w:t>7</w:t>
            </w:r>
          </w:p>
        </w:tc>
      </w:tr>
      <w:tr w:rsidR="00C25DA5" w:rsidRPr="00C25DA5" w14:paraId="17857A46" w14:textId="77777777" w:rsidTr="00C25DA5">
        <w:trPr>
          <w:trHeight w:val="300"/>
        </w:trPr>
        <w:tc>
          <w:tcPr>
            <w:tcW w:w="2480" w:type="dxa"/>
            <w:noWrap/>
            <w:hideMark/>
          </w:tcPr>
          <w:p w14:paraId="4FC86E03" w14:textId="77777777" w:rsidR="00C25DA5" w:rsidRPr="00C25DA5" w:rsidRDefault="00C25DA5" w:rsidP="00C25DA5">
            <w:r w:rsidRPr="00C25DA5">
              <w:t>4.9</w:t>
            </w:r>
          </w:p>
        </w:tc>
        <w:tc>
          <w:tcPr>
            <w:tcW w:w="2480" w:type="dxa"/>
            <w:noWrap/>
            <w:hideMark/>
          </w:tcPr>
          <w:p w14:paraId="57314088" w14:textId="77777777" w:rsidR="00C25DA5" w:rsidRPr="00C25DA5" w:rsidRDefault="00C25DA5" w:rsidP="00C25DA5">
            <w:r w:rsidRPr="00C25DA5">
              <w:t>6.9</w:t>
            </w:r>
          </w:p>
        </w:tc>
      </w:tr>
      <w:tr w:rsidR="00C25DA5" w:rsidRPr="00C25DA5" w14:paraId="721EC931" w14:textId="77777777" w:rsidTr="00C25DA5">
        <w:trPr>
          <w:trHeight w:val="300"/>
        </w:trPr>
        <w:tc>
          <w:tcPr>
            <w:tcW w:w="2480" w:type="dxa"/>
            <w:noWrap/>
            <w:hideMark/>
          </w:tcPr>
          <w:p w14:paraId="76B0933D" w14:textId="77777777" w:rsidR="00C25DA5" w:rsidRPr="00C25DA5" w:rsidRDefault="00C25DA5" w:rsidP="00C25DA5">
            <w:r w:rsidRPr="00C25DA5">
              <w:t>5.3</w:t>
            </w:r>
          </w:p>
        </w:tc>
        <w:tc>
          <w:tcPr>
            <w:tcW w:w="2480" w:type="dxa"/>
            <w:noWrap/>
            <w:hideMark/>
          </w:tcPr>
          <w:p w14:paraId="6F0D73C2" w14:textId="77777777" w:rsidR="00C25DA5" w:rsidRPr="00C25DA5" w:rsidRDefault="00C25DA5" w:rsidP="00C25DA5">
            <w:r w:rsidRPr="00C25DA5">
              <w:t>7.2</w:t>
            </w:r>
          </w:p>
        </w:tc>
      </w:tr>
      <w:tr w:rsidR="00C25DA5" w:rsidRPr="00C25DA5" w14:paraId="55F5C926" w14:textId="77777777" w:rsidTr="00C25DA5">
        <w:trPr>
          <w:trHeight w:val="300"/>
        </w:trPr>
        <w:tc>
          <w:tcPr>
            <w:tcW w:w="2480" w:type="dxa"/>
            <w:noWrap/>
            <w:hideMark/>
          </w:tcPr>
          <w:p w14:paraId="22195669" w14:textId="77777777" w:rsidR="00C25DA5" w:rsidRPr="00C25DA5" w:rsidRDefault="00C25DA5" w:rsidP="00C25DA5">
            <w:r w:rsidRPr="00C25DA5">
              <w:t>5.7</w:t>
            </w:r>
          </w:p>
        </w:tc>
        <w:tc>
          <w:tcPr>
            <w:tcW w:w="2480" w:type="dxa"/>
            <w:noWrap/>
            <w:hideMark/>
          </w:tcPr>
          <w:p w14:paraId="4114CC7E" w14:textId="77777777" w:rsidR="00C25DA5" w:rsidRPr="00C25DA5" w:rsidRDefault="00C25DA5" w:rsidP="00C25DA5">
            <w:r w:rsidRPr="00C25DA5">
              <w:t>6.5</w:t>
            </w:r>
          </w:p>
        </w:tc>
      </w:tr>
      <w:tr w:rsidR="00C25DA5" w:rsidRPr="00C25DA5" w14:paraId="2A4BA289" w14:textId="77777777" w:rsidTr="00C25DA5">
        <w:trPr>
          <w:trHeight w:val="300"/>
        </w:trPr>
        <w:tc>
          <w:tcPr>
            <w:tcW w:w="2480" w:type="dxa"/>
            <w:noWrap/>
            <w:hideMark/>
          </w:tcPr>
          <w:p w14:paraId="5132ACAB" w14:textId="77777777" w:rsidR="00C25DA5" w:rsidRPr="00C25DA5" w:rsidRDefault="00C25DA5" w:rsidP="00C25DA5">
            <w:r w:rsidRPr="00C25DA5">
              <w:t>6.2</w:t>
            </w:r>
          </w:p>
        </w:tc>
        <w:tc>
          <w:tcPr>
            <w:tcW w:w="2480" w:type="dxa"/>
            <w:noWrap/>
            <w:hideMark/>
          </w:tcPr>
          <w:p w14:paraId="2016EB3F" w14:textId="77777777" w:rsidR="00C25DA5" w:rsidRPr="00C25DA5" w:rsidRDefault="00C25DA5" w:rsidP="00C25DA5">
            <w:r w:rsidRPr="00C25DA5">
              <w:t>7.1</w:t>
            </w:r>
          </w:p>
        </w:tc>
      </w:tr>
      <w:tr w:rsidR="00C25DA5" w:rsidRPr="00C25DA5" w14:paraId="25F0C8C5" w14:textId="77777777" w:rsidTr="00C25DA5">
        <w:trPr>
          <w:trHeight w:val="300"/>
        </w:trPr>
        <w:tc>
          <w:tcPr>
            <w:tcW w:w="2480" w:type="dxa"/>
            <w:noWrap/>
            <w:hideMark/>
          </w:tcPr>
          <w:p w14:paraId="32A722A9" w14:textId="77777777" w:rsidR="00C25DA5" w:rsidRPr="00C25DA5" w:rsidRDefault="00C25DA5" w:rsidP="00C25DA5">
            <w:r w:rsidRPr="00C25DA5">
              <w:t>5</w:t>
            </w:r>
          </w:p>
        </w:tc>
        <w:tc>
          <w:tcPr>
            <w:tcW w:w="2480" w:type="dxa"/>
            <w:noWrap/>
            <w:hideMark/>
          </w:tcPr>
          <w:p w14:paraId="50E96C69" w14:textId="77777777" w:rsidR="00C25DA5" w:rsidRPr="00C25DA5" w:rsidRDefault="00C25DA5" w:rsidP="00C25DA5">
            <w:r w:rsidRPr="00C25DA5">
              <w:t>6.7</w:t>
            </w:r>
          </w:p>
        </w:tc>
      </w:tr>
      <w:tr w:rsidR="00C25DA5" w:rsidRPr="00C25DA5" w14:paraId="04F7AC96" w14:textId="77777777" w:rsidTr="00C25DA5">
        <w:trPr>
          <w:trHeight w:val="300"/>
        </w:trPr>
        <w:tc>
          <w:tcPr>
            <w:tcW w:w="2480" w:type="dxa"/>
            <w:noWrap/>
            <w:hideMark/>
          </w:tcPr>
          <w:p w14:paraId="2152F221" w14:textId="77777777" w:rsidR="00C25DA5" w:rsidRPr="00C25DA5" w:rsidRDefault="00C25DA5" w:rsidP="00C25DA5">
            <w:r w:rsidRPr="00C25DA5">
              <w:t>5.4</w:t>
            </w:r>
          </w:p>
        </w:tc>
        <w:tc>
          <w:tcPr>
            <w:tcW w:w="2480" w:type="dxa"/>
            <w:noWrap/>
            <w:hideMark/>
          </w:tcPr>
          <w:p w14:paraId="061F972F" w14:textId="77777777" w:rsidR="00C25DA5" w:rsidRPr="00C25DA5" w:rsidRDefault="00C25DA5" w:rsidP="00C25DA5">
            <w:r w:rsidRPr="00C25DA5">
              <w:t>6.6</w:t>
            </w:r>
          </w:p>
        </w:tc>
      </w:tr>
    </w:tbl>
    <w:p w14:paraId="4FA1FE6F" w14:textId="77777777" w:rsidR="00C25DA5" w:rsidRDefault="00C25DA5"/>
    <w:p w14:paraId="76A6C8C6" w14:textId="01BB5638" w:rsidR="00B9433E" w:rsidRDefault="00B9433E">
      <w:pPr>
        <w:rPr>
          <w:b/>
          <w:bCs/>
        </w:rPr>
      </w:pPr>
      <w:r>
        <w:rPr>
          <w:b/>
          <w:bCs/>
        </w:rPr>
        <w:br w:type="page"/>
      </w:r>
    </w:p>
    <w:p w14:paraId="5F446F07" w14:textId="52952D1C" w:rsidR="00C25DA5" w:rsidRDefault="00C25DA5" w:rsidP="00190253">
      <w:pPr>
        <w:pStyle w:val="Heading1"/>
      </w:pPr>
      <w:r>
        <w:lastRenderedPageBreak/>
        <w:t xml:space="preserve">Use of ChatGPT to Generate a </w:t>
      </w:r>
      <w:proofErr w:type="gramStart"/>
      <w:r>
        <w:t>Real World</w:t>
      </w:r>
      <w:proofErr w:type="gramEnd"/>
      <w:r>
        <w:t xml:space="preserve"> </w:t>
      </w:r>
      <w:r w:rsidR="00190253">
        <w:t>Prompt</w:t>
      </w:r>
    </w:p>
    <w:p w14:paraId="697A8168" w14:textId="0706D21A" w:rsidR="00C25DA5" w:rsidRPr="00932E76" w:rsidRDefault="00C25DA5" w:rsidP="00C25DA5">
      <w:r w:rsidRPr="00932E76">
        <w:rPr>
          <w:b/>
          <w:bCs/>
        </w:rPr>
        <w:t>Role</w:t>
      </w:r>
      <w:r>
        <w:t xml:space="preserve">: </w:t>
      </w:r>
      <w:r w:rsidRPr="00932E76">
        <w:t xml:space="preserve">You are a teacher designing a prompt for your students. </w:t>
      </w:r>
      <w:r>
        <w:t>You want the prompt to use synthetic data that matches real world publically available population parameters</w:t>
      </w:r>
    </w:p>
    <w:p w14:paraId="1BC36666" w14:textId="77777777" w:rsidR="00C25DA5" w:rsidRPr="00932E76" w:rsidRDefault="00C25DA5" w:rsidP="00C25DA5">
      <w:r w:rsidRPr="00932E76">
        <w:rPr>
          <w:b/>
          <w:bCs/>
        </w:rPr>
        <w:t>Context</w:t>
      </w:r>
      <w:r w:rsidRPr="00932E76">
        <w:t>: Business</w:t>
      </w:r>
    </w:p>
    <w:p w14:paraId="323C14F2" w14:textId="77777777" w:rsidR="00C25DA5" w:rsidRDefault="00C25DA5" w:rsidP="00C25DA5">
      <w:r w:rsidRPr="00932E76">
        <w:rPr>
          <w:b/>
          <w:bCs/>
        </w:rPr>
        <w:t>Type of test</w:t>
      </w:r>
      <w:r w:rsidRPr="00932E76">
        <w:t>: Two sample T with unequal variances</w:t>
      </w:r>
    </w:p>
    <w:p w14:paraId="45FC631A" w14:textId="642D24AF" w:rsidR="00C25DA5" w:rsidRDefault="00C25DA5" w:rsidP="00C25DA5">
      <w:r w:rsidRPr="00932E76">
        <w:rPr>
          <w:b/>
          <w:bCs/>
        </w:rPr>
        <w:t>Conclusion</w:t>
      </w:r>
      <w:r>
        <w:t>: Reject the null</w:t>
      </w:r>
    </w:p>
    <w:p w14:paraId="7E72B874" w14:textId="77777777" w:rsidR="00C25DA5" w:rsidRPr="00932E76" w:rsidRDefault="00C25DA5" w:rsidP="00C25DA5">
      <w:r w:rsidRPr="00932E76">
        <w:rPr>
          <w:b/>
          <w:bCs/>
        </w:rPr>
        <w:t>Data</w:t>
      </w:r>
      <w:r>
        <w:t>: Include test data in MS Excel format</w:t>
      </w:r>
    </w:p>
    <w:p w14:paraId="69C6E9E0" w14:textId="77777777" w:rsidR="00C25DA5" w:rsidRDefault="00C25DA5"/>
    <w:p w14:paraId="405EC938" w14:textId="06F4A766" w:rsidR="00C25DA5" w:rsidRDefault="00C25DA5" w:rsidP="00190253">
      <w:pPr>
        <w:pStyle w:val="Heading2"/>
      </w:pPr>
      <w:r>
        <w:t>Response from ChatGPT</w:t>
      </w:r>
    </w:p>
    <w:p w14:paraId="43C4D50A" w14:textId="77777777" w:rsidR="00C25DA5" w:rsidRDefault="00C25DA5">
      <w:r w:rsidRPr="00C25DA5">
        <w:t>A transportation company wants to determine if its newly implemented delivery optimization software significantly reduces average delivery times compared to its previous system. The company has collected data on delivery times before and after the software implementation from multiple delivery routes. Using the provided data, perform a two-sample T-test assuming unequal variances. At the 0.05 significance level, can the company conclude that the new software significantly reduces average delivery times?</w:t>
      </w:r>
    </w:p>
    <w:p w14:paraId="042EF06C" w14:textId="77777777" w:rsidR="00C25DA5" w:rsidRDefault="00C25DA5"/>
    <w:p w14:paraId="5FEC37CC" w14:textId="54393E96" w:rsidR="00C25DA5" w:rsidRDefault="00C25DA5" w:rsidP="00190253">
      <w:pPr>
        <w:pStyle w:val="Heading2"/>
      </w:pPr>
      <w:r>
        <w:t>Synthetic Sales Data from ChatGPT</w:t>
      </w:r>
    </w:p>
    <w:p w14:paraId="7101B73E" w14:textId="77777777" w:rsidR="00C25DA5" w:rsidRDefault="00C25DA5">
      <w:r w:rsidRPr="00C25DA5">
        <w:t xml:space="preserve">I have generated synthetic data that mimics real-world delivery times, which you can use for the analysis. </w:t>
      </w:r>
    </w:p>
    <w:p w14:paraId="46C8984D" w14:textId="77777777" w:rsidR="00C25DA5" w:rsidRDefault="00C25DA5"/>
    <w:tbl>
      <w:tblPr>
        <w:tblStyle w:val="TableGrid"/>
        <w:tblW w:w="0" w:type="auto"/>
        <w:tblLook w:val="04A0" w:firstRow="1" w:lastRow="0" w:firstColumn="1" w:lastColumn="0" w:noHBand="0" w:noVBand="1"/>
      </w:tblPr>
      <w:tblGrid>
        <w:gridCol w:w="1182"/>
        <w:gridCol w:w="1182"/>
      </w:tblGrid>
      <w:tr w:rsidR="00C25DA5" w:rsidRPr="00C25DA5" w14:paraId="1714DB96" w14:textId="77777777" w:rsidTr="00C25DA5">
        <w:trPr>
          <w:trHeight w:val="300"/>
        </w:trPr>
        <w:tc>
          <w:tcPr>
            <w:tcW w:w="1060" w:type="dxa"/>
            <w:noWrap/>
            <w:hideMark/>
          </w:tcPr>
          <w:p w14:paraId="727184E3" w14:textId="58DC8A51" w:rsidR="00C25DA5" w:rsidRPr="00C25DA5" w:rsidRDefault="00C25DA5" w:rsidP="00C25DA5">
            <w:pPr>
              <w:rPr>
                <w:b/>
                <w:bCs/>
              </w:rPr>
            </w:pPr>
            <w:r w:rsidRPr="00C25DA5">
              <w:rPr>
                <w:b/>
                <w:bCs/>
              </w:rPr>
              <w:t>Old Times (hrs)</w:t>
            </w:r>
          </w:p>
        </w:tc>
        <w:tc>
          <w:tcPr>
            <w:tcW w:w="1060" w:type="dxa"/>
            <w:noWrap/>
            <w:hideMark/>
          </w:tcPr>
          <w:p w14:paraId="0803DBD3" w14:textId="1FB335AC" w:rsidR="00C25DA5" w:rsidRPr="00C25DA5" w:rsidRDefault="00C25DA5" w:rsidP="00C25DA5">
            <w:pPr>
              <w:rPr>
                <w:b/>
                <w:bCs/>
              </w:rPr>
            </w:pPr>
            <w:r w:rsidRPr="00C25DA5">
              <w:rPr>
                <w:b/>
                <w:bCs/>
              </w:rPr>
              <w:t>New Times (hrs)</w:t>
            </w:r>
          </w:p>
        </w:tc>
      </w:tr>
      <w:tr w:rsidR="00C25DA5" w:rsidRPr="00C25DA5" w14:paraId="3F9B3A3E" w14:textId="77777777" w:rsidTr="00C25DA5">
        <w:trPr>
          <w:trHeight w:val="300"/>
        </w:trPr>
        <w:tc>
          <w:tcPr>
            <w:tcW w:w="1060" w:type="dxa"/>
            <w:noWrap/>
            <w:hideMark/>
          </w:tcPr>
          <w:p w14:paraId="1638CA3C" w14:textId="77777777" w:rsidR="00C25DA5" w:rsidRPr="00C25DA5" w:rsidRDefault="00C25DA5" w:rsidP="00C25DA5">
            <w:r w:rsidRPr="00C25DA5">
              <w:t>6.897371</w:t>
            </w:r>
          </w:p>
        </w:tc>
        <w:tc>
          <w:tcPr>
            <w:tcW w:w="1060" w:type="dxa"/>
            <w:noWrap/>
            <w:hideMark/>
          </w:tcPr>
          <w:p w14:paraId="1BB310E1" w14:textId="77777777" w:rsidR="00C25DA5" w:rsidRPr="00C25DA5" w:rsidRDefault="00C25DA5" w:rsidP="00C25DA5">
            <w:r w:rsidRPr="00C25DA5">
              <w:t>5.278805</w:t>
            </w:r>
          </w:p>
        </w:tc>
      </w:tr>
      <w:tr w:rsidR="00C25DA5" w:rsidRPr="00C25DA5" w14:paraId="11ED490B" w14:textId="77777777" w:rsidTr="00C25DA5">
        <w:trPr>
          <w:trHeight w:val="300"/>
        </w:trPr>
        <w:tc>
          <w:tcPr>
            <w:tcW w:w="1060" w:type="dxa"/>
            <w:noWrap/>
            <w:hideMark/>
          </w:tcPr>
          <w:p w14:paraId="41162055" w14:textId="77777777" w:rsidR="00C25DA5" w:rsidRPr="00C25DA5" w:rsidRDefault="00C25DA5" w:rsidP="00C25DA5">
            <w:r w:rsidRPr="00C25DA5">
              <w:t>6.389389</w:t>
            </w:r>
          </w:p>
        </w:tc>
        <w:tc>
          <w:tcPr>
            <w:tcW w:w="1060" w:type="dxa"/>
            <w:noWrap/>
            <w:hideMark/>
          </w:tcPr>
          <w:p w14:paraId="08E3457C" w14:textId="77777777" w:rsidR="00C25DA5" w:rsidRPr="00C25DA5" w:rsidRDefault="00C25DA5" w:rsidP="00C25DA5">
            <w:r w:rsidRPr="00C25DA5">
              <w:t>6.996595</w:t>
            </w:r>
          </w:p>
        </w:tc>
      </w:tr>
      <w:tr w:rsidR="00C25DA5" w:rsidRPr="00C25DA5" w14:paraId="599DBE9C" w14:textId="77777777" w:rsidTr="00C25DA5">
        <w:trPr>
          <w:trHeight w:val="300"/>
        </w:trPr>
        <w:tc>
          <w:tcPr>
            <w:tcW w:w="1060" w:type="dxa"/>
            <w:noWrap/>
            <w:hideMark/>
          </w:tcPr>
          <w:p w14:paraId="5717D7CD" w14:textId="77777777" w:rsidR="00C25DA5" w:rsidRPr="00C25DA5" w:rsidRDefault="00C25DA5" w:rsidP="00C25DA5">
            <w:r w:rsidRPr="00C25DA5">
              <w:t>7.018151</w:t>
            </w:r>
          </w:p>
        </w:tc>
        <w:tc>
          <w:tcPr>
            <w:tcW w:w="1060" w:type="dxa"/>
            <w:noWrap/>
            <w:hideMark/>
          </w:tcPr>
          <w:p w14:paraId="48BEC523" w14:textId="77777777" w:rsidR="00C25DA5" w:rsidRPr="00C25DA5" w:rsidRDefault="00C25DA5" w:rsidP="00C25DA5">
            <w:r w:rsidRPr="00C25DA5">
              <w:t>5.690552</w:t>
            </w:r>
          </w:p>
        </w:tc>
      </w:tr>
      <w:tr w:rsidR="00C25DA5" w:rsidRPr="00C25DA5" w14:paraId="4986845A" w14:textId="77777777" w:rsidTr="00C25DA5">
        <w:trPr>
          <w:trHeight w:val="300"/>
        </w:trPr>
        <w:tc>
          <w:tcPr>
            <w:tcW w:w="1060" w:type="dxa"/>
            <w:noWrap/>
            <w:hideMark/>
          </w:tcPr>
          <w:p w14:paraId="13A639EC" w14:textId="77777777" w:rsidR="00C25DA5" w:rsidRPr="00C25DA5" w:rsidRDefault="00C25DA5" w:rsidP="00C25DA5">
            <w:r w:rsidRPr="00C25DA5">
              <w:t>7.718424</w:t>
            </w:r>
          </w:p>
        </w:tc>
        <w:tc>
          <w:tcPr>
            <w:tcW w:w="1060" w:type="dxa"/>
            <w:noWrap/>
            <w:hideMark/>
          </w:tcPr>
          <w:p w14:paraId="6B08BEA4" w14:textId="77777777" w:rsidR="00C25DA5" w:rsidRPr="00C25DA5" w:rsidRDefault="00C25DA5" w:rsidP="00C25DA5">
            <w:r w:rsidRPr="00C25DA5">
              <w:t>4.959602</w:t>
            </w:r>
          </w:p>
        </w:tc>
      </w:tr>
      <w:tr w:rsidR="00C25DA5" w:rsidRPr="00C25DA5" w14:paraId="4CCF4C68" w14:textId="77777777" w:rsidTr="00C25DA5">
        <w:trPr>
          <w:trHeight w:val="300"/>
        </w:trPr>
        <w:tc>
          <w:tcPr>
            <w:tcW w:w="1060" w:type="dxa"/>
            <w:noWrap/>
            <w:hideMark/>
          </w:tcPr>
          <w:p w14:paraId="48904464" w14:textId="77777777" w:rsidR="00C25DA5" w:rsidRPr="00C25DA5" w:rsidRDefault="00C25DA5" w:rsidP="00C25DA5">
            <w:r w:rsidRPr="00C25DA5">
              <w:t>6.312677</w:t>
            </w:r>
          </w:p>
        </w:tc>
        <w:tc>
          <w:tcPr>
            <w:tcW w:w="1060" w:type="dxa"/>
            <w:noWrap/>
            <w:hideMark/>
          </w:tcPr>
          <w:p w14:paraId="619C860B" w14:textId="77777777" w:rsidR="00C25DA5" w:rsidRPr="00C25DA5" w:rsidRDefault="00C25DA5" w:rsidP="00C25DA5">
            <w:r w:rsidRPr="00C25DA5">
              <w:t>6.275781</w:t>
            </w:r>
          </w:p>
        </w:tc>
      </w:tr>
      <w:tr w:rsidR="00C25DA5" w:rsidRPr="00C25DA5" w14:paraId="430A2382" w14:textId="77777777" w:rsidTr="00C25DA5">
        <w:trPr>
          <w:trHeight w:val="300"/>
        </w:trPr>
        <w:tc>
          <w:tcPr>
            <w:tcW w:w="1060" w:type="dxa"/>
            <w:noWrap/>
            <w:hideMark/>
          </w:tcPr>
          <w:p w14:paraId="47B307A6" w14:textId="77777777" w:rsidR="00C25DA5" w:rsidRPr="00C25DA5" w:rsidRDefault="00C25DA5" w:rsidP="00C25DA5">
            <w:r w:rsidRPr="00C25DA5">
              <w:t>6.31269</w:t>
            </w:r>
          </w:p>
        </w:tc>
        <w:tc>
          <w:tcPr>
            <w:tcW w:w="1060" w:type="dxa"/>
            <w:noWrap/>
            <w:hideMark/>
          </w:tcPr>
          <w:p w14:paraId="3A394B4A" w14:textId="77777777" w:rsidR="00C25DA5" w:rsidRPr="00C25DA5" w:rsidRDefault="00C25DA5" w:rsidP="00C25DA5">
            <w:r w:rsidRPr="00C25DA5">
              <w:t>4.845409</w:t>
            </w:r>
          </w:p>
        </w:tc>
      </w:tr>
      <w:tr w:rsidR="00C25DA5" w:rsidRPr="00C25DA5" w14:paraId="028CA12B" w14:textId="77777777" w:rsidTr="00C25DA5">
        <w:trPr>
          <w:trHeight w:val="300"/>
        </w:trPr>
        <w:tc>
          <w:tcPr>
            <w:tcW w:w="1060" w:type="dxa"/>
            <w:noWrap/>
            <w:hideMark/>
          </w:tcPr>
          <w:p w14:paraId="770112F5" w14:textId="77777777" w:rsidR="00C25DA5" w:rsidRPr="00C25DA5" w:rsidRDefault="00C25DA5" w:rsidP="00C25DA5">
            <w:r w:rsidRPr="00C25DA5">
              <w:t>7.76337</w:t>
            </w:r>
          </w:p>
        </w:tc>
        <w:tc>
          <w:tcPr>
            <w:tcW w:w="1060" w:type="dxa"/>
            <w:noWrap/>
            <w:hideMark/>
          </w:tcPr>
          <w:p w14:paraId="7F412DF2" w14:textId="77777777" w:rsidR="00C25DA5" w:rsidRPr="00C25DA5" w:rsidRDefault="00C25DA5" w:rsidP="00C25DA5">
            <w:r w:rsidRPr="00C25DA5">
              <w:t>5.846205</w:t>
            </w:r>
          </w:p>
        </w:tc>
      </w:tr>
      <w:tr w:rsidR="00C25DA5" w:rsidRPr="00C25DA5" w14:paraId="45C52907" w14:textId="77777777" w:rsidTr="00C25DA5">
        <w:trPr>
          <w:trHeight w:val="300"/>
        </w:trPr>
        <w:tc>
          <w:tcPr>
            <w:tcW w:w="1060" w:type="dxa"/>
            <w:noWrap/>
            <w:hideMark/>
          </w:tcPr>
          <w:p w14:paraId="680F92A9" w14:textId="77777777" w:rsidR="00C25DA5" w:rsidRPr="00C25DA5" w:rsidRDefault="00C25DA5" w:rsidP="00C25DA5">
            <w:r w:rsidRPr="00C25DA5">
              <w:t>7.113948</w:t>
            </w:r>
          </w:p>
        </w:tc>
        <w:tc>
          <w:tcPr>
            <w:tcW w:w="1060" w:type="dxa"/>
            <w:noWrap/>
            <w:hideMark/>
          </w:tcPr>
          <w:p w14:paraId="387A4566" w14:textId="77777777" w:rsidR="00C25DA5" w:rsidRPr="00C25DA5" w:rsidRDefault="00C25DA5" w:rsidP="00C25DA5">
            <w:r w:rsidRPr="00C25DA5">
              <w:t>4.328231</w:t>
            </w:r>
          </w:p>
        </w:tc>
      </w:tr>
      <w:tr w:rsidR="00C25DA5" w:rsidRPr="00C25DA5" w14:paraId="6717B9AB" w14:textId="77777777" w:rsidTr="00C25DA5">
        <w:trPr>
          <w:trHeight w:val="300"/>
        </w:trPr>
        <w:tc>
          <w:tcPr>
            <w:tcW w:w="1060" w:type="dxa"/>
            <w:noWrap/>
            <w:hideMark/>
          </w:tcPr>
          <w:p w14:paraId="37C3DC9E" w14:textId="77777777" w:rsidR="00C25DA5" w:rsidRPr="00C25DA5" w:rsidRDefault="00C25DA5" w:rsidP="00C25DA5">
            <w:r w:rsidRPr="00C25DA5">
              <w:t>6.12442</w:t>
            </w:r>
          </w:p>
        </w:tc>
        <w:tc>
          <w:tcPr>
            <w:tcW w:w="1060" w:type="dxa"/>
            <w:noWrap/>
            <w:hideMark/>
          </w:tcPr>
          <w:p w14:paraId="6FF36287" w14:textId="77777777" w:rsidR="00C25DA5" w:rsidRPr="00C25DA5" w:rsidRDefault="00C25DA5" w:rsidP="00C25DA5">
            <w:r w:rsidRPr="00C25DA5">
              <w:t>4.77027</w:t>
            </w:r>
          </w:p>
        </w:tc>
      </w:tr>
      <w:tr w:rsidR="00C25DA5" w:rsidRPr="00C25DA5" w14:paraId="5FBDBD1A" w14:textId="77777777" w:rsidTr="00C25DA5">
        <w:trPr>
          <w:trHeight w:val="300"/>
        </w:trPr>
        <w:tc>
          <w:tcPr>
            <w:tcW w:w="1060" w:type="dxa"/>
            <w:noWrap/>
            <w:hideMark/>
          </w:tcPr>
          <w:p w14:paraId="143AD33A" w14:textId="77777777" w:rsidR="00C25DA5" w:rsidRPr="00C25DA5" w:rsidRDefault="00C25DA5" w:rsidP="00C25DA5">
            <w:r w:rsidRPr="00C25DA5">
              <w:t>6.934048</w:t>
            </w:r>
          </w:p>
        </w:tc>
        <w:tc>
          <w:tcPr>
            <w:tcW w:w="1060" w:type="dxa"/>
            <w:noWrap/>
            <w:hideMark/>
          </w:tcPr>
          <w:p w14:paraId="2FC62672" w14:textId="77777777" w:rsidR="00C25DA5" w:rsidRPr="00C25DA5" w:rsidRDefault="00C25DA5" w:rsidP="00C25DA5">
            <w:r w:rsidRPr="00C25DA5">
              <w:t>5.837803</w:t>
            </w:r>
          </w:p>
        </w:tc>
      </w:tr>
      <w:tr w:rsidR="00C25DA5" w:rsidRPr="00C25DA5" w14:paraId="72B71576" w14:textId="77777777" w:rsidTr="00C25DA5">
        <w:trPr>
          <w:trHeight w:val="300"/>
        </w:trPr>
        <w:tc>
          <w:tcPr>
            <w:tcW w:w="1060" w:type="dxa"/>
            <w:noWrap/>
            <w:hideMark/>
          </w:tcPr>
          <w:p w14:paraId="0D0C788C" w14:textId="77777777" w:rsidR="00C25DA5" w:rsidRPr="00C25DA5" w:rsidRDefault="00C25DA5" w:rsidP="00C25DA5">
            <w:r w:rsidRPr="00C25DA5">
              <w:t>6.129266</w:t>
            </w:r>
          </w:p>
        </w:tc>
        <w:tc>
          <w:tcPr>
            <w:tcW w:w="1060" w:type="dxa"/>
            <w:noWrap/>
            <w:hideMark/>
          </w:tcPr>
          <w:p w14:paraId="32794E21" w14:textId="77777777" w:rsidR="00C25DA5" w:rsidRPr="00C25DA5" w:rsidRDefault="00C25DA5" w:rsidP="00C25DA5">
            <w:r w:rsidRPr="00C25DA5">
              <w:t>6.216927</w:t>
            </w:r>
          </w:p>
        </w:tc>
      </w:tr>
      <w:tr w:rsidR="00C25DA5" w:rsidRPr="00C25DA5" w14:paraId="57BDB33B" w14:textId="77777777" w:rsidTr="00C25DA5">
        <w:trPr>
          <w:trHeight w:val="300"/>
        </w:trPr>
        <w:tc>
          <w:tcPr>
            <w:tcW w:w="1060" w:type="dxa"/>
            <w:noWrap/>
            <w:hideMark/>
          </w:tcPr>
          <w:p w14:paraId="74BF4906" w14:textId="77777777" w:rsidR="00C25DA5" w:rsidRPr="00C25DA5" w:rsidRDefault="00C25DA5" w:rsidP="00C25DA5">
            <w:r w:rsidRPr="00C25DA5">
              <w:t>6.127416</w:t>
            </w:r>
          </w:p>
        </w:tc>
        <w:tc>
          <w:tcPr>
            <w:tcW w:w="1060" w:type="dxa"/>
            <w:noWrap/>
            <w:hideMark/>
          </w:tcPr>
          <w:p w14:paraId="69616071" w14:textId="77777777" w:rsidR="00C25DA5" w:rsidRPr="00C25DA5" w:rsidRDefault="00C25DA5" w:rsidP="00C25DA5">
            <w:r w:rsidRPr="00C25DA5">
              <w:t>5.819958</w:t>
            </w:r>
          </w:p>
        </w:tc>
      </w:tr>
      <w:tr w:rsidR="00C25DA5" w:rsidRPr="00C25DA5" w14:paraId="63E2E408" w14:textId="77777777" w:rsidTr="00C25DA5">
        <w:trPr>
          <w:trHeight w:val="300"/>
        </w:trPr>
        <w:tc>
          <w:tcPr>
            <w:tcW w:w="1060" w:type="dxa"/>
            <w:noWrap/>
            <w:hideMark/>
          </w:tcPr>
          <w:p w14:paraId="2391B2A8" w14:textId="77777777" w:rsidR="00C25DA5" w:rsidRPr="00C25DA5" w:rsidRDefault="00C25DA5" w:rsidP="00C25DA5">
            <w:r w:rsidRPr="00C25DA5">
              <w:t>6.69357</w:t>
            </w:r>
          </w:p>
        </w:tc>
        <w:tc>
          <w:tcPr>
            <w:tcW w:w="1060" w:type="dxa"/>
            <w:noWrap/>
            <w:hideMark/>
          </w:tcPr>
          <w:p w14:paraId="277F90CE" w14:textId="77777777" w:rsidR="00C25DA5" w:rsidRPr="00C25DA5" w:rsidRDefault="00C25DA5" w:rsidP="00C25DA5">
            <w:r w:rsidRPr="00C25DA5">
              <w:t>5.619046</w:t>
            </w:r>
          </w:p>
        </w:tc>
      </w:tr>
      <w:tr w:rsidR="00C25DA5" w:rsidRPr="00C25DA5" w14:paraId="1E355BD4" w14:textId="77777777" w:rsidTr="00C25DA5">
        <w:trPr>
          <w:trHeight w:val="300"/>
        </w:trPr>
        <w:tc>
          <w:tcPr>
            <w:tcW w:w="1060" w:type="dxa"/>
            <w:noWrap/>
            <w:hideMark/>
          </w:tcPr>
          <w:p w14:paraId="125305C3" w14:textId="77777777" w:rsidR="00C25DA5" w:rsidRPr="00C25DA5" w:rsidRDefault="00C25DA5" w:rsidP="00C25DA5">
            <w:r w:rsidRPr="00C25DA5">
              <w:t>4.969376</w:t>
            </w:r>
          </w:p>
        </w:tc>
        <w:tc>
          <w:tcPr>
            <w:tcW w:w="1060" w:type="dxa"/>
            <w:noWrap/>
            <w:hideMark/>
          </w:tcPr>
          <w:p w14:paraId="1610D12D" w14:textId="77777777" w:rsidR="00C25DA5" w:rsidRPr="00C25DA5" w:rsidRDefault="00C25DA5" w:rsidP="00C25DA5">
            <w:r w:rsidRPr="00C25DA5">
              <w:t>5.489227</w:t>
            </w:r>
          </w:p>
        </w:tc>
      </w:tr>
      <w:tr w:rsidR="00C25DA5" w:rsidRPr="00C25DA5" w14:paraId="2749659D" w14:textId="77777777" w:rsidTr="00C25DA5">
        <w:trPr>
          <w:trHeight w:val="300"/>
        </w:trPr>
        <w:tc>
          <w:tcPr>
            <w:tcW w:w="1060" w:type="dxa"/>
            <w:noWrap/>
            <w:hideMark/>
          </w:tcPr>
          <w:p w14:paraId="00109B80" w14:textId="77777777" w:rsidR="00C25DA5" w:rsidRPr="00C25DA5" w:rsidRDefault="00C25DA5" w:rsidP="00C25DA5">
            <w:r w:rsidRPr="00C25DA5">
              <w:t>5.120066</w:t>
            </w:r>
          </w:p>
        </w:tc>
        <w:tc>
          <w:tcPr>
            <w:tcW w:w="1060" w:type="dxa"/>
            <w:noWrap/>
            <w:hideMark/>
          </w:tcPr>
          <w:p w14:paraId="182A3BEB" w14:textId="77777777" w:rsidR="00C25DA5" w:rsidRPr="00C25DA5" w:rsidRDefault="00C25DA5" w:rsidP="00C25DA5">
            <w:r w:rsidRPr="00C25DA5">
              <w:t>4.665035</w:t>
            </w:r>
          </w:p>
        </w:tc>
      </w:tr>
      <w:tr w:rsidR="00C25DA5" w:rsidRPr="00C25DA5" w14:paraId="2A174F41" w14:textId="77777777" w:rsidTr="00C25DA5">
        <w:trPr>
          <w:trHeight w:val="300"/>
        </w:trPr>
        <w:tc>
          <w:tcPr>
            <w:tcW w:w="1060" w:type="dxa"/>
            <w:noWrap/>
            <w:hideMark/>
          </w:tcPr>
          <w:p w14:paraId="45CC04DB" w14:textId="77777777" w:rsidR="00C25DA5" w:rsidRPr="00C25DA5" w:rsidRDefault="00C25DA5" w:rsidP="00C25DA5">
            <w:r w:rsidRPr="00C25DA5">
              <w:t>6.05017</w:t>
            </w:r>
          </w:p>
        </w:tc>
        <w:tc>
          <w:tcPr>
            <w:tcW w:w="1060" w:type="dxa"/>
            <w:noWrap/>
            <w:hideMark/>
          </w:tcPr>
          <w:p w14:paraId="3EE31E89" w14:textId="77777777" w:rsidR="00C25DA5" w:rsidRPr="00C25DA5" w:rsidRDefault="00C25DA5" w:rsidP="00C25DA5">
            <w:r w:rsidRPr="00C25DA5">
              <w:t>5.196109</w:t>
            </w:r>
          </w:p>
        </w:tc>
      </w:tr>
      <w:tr w:rsidR="00C25DA5" w:rsidRPr="00C25DA5" w14:paraId="7E8F7653" w14:textId="77777777" w:rsidTr="00C25DA5">
        <w:trPr>
          <w:trHeight w:val="300"/>
        </w:trPr>
        <w:tc>
          <w:tcPr>
            <w:tcW w:w="1060" w:type="dxa"/>
            <w:noWrap/>
            <w:hideMark/>
          </w:tcPr>
          <w:p w14:paraId="5B483027" w14:textId="77777777" w:rsidR="00C25DA5" w:rsidRPr="00C25DA5" w:rsidRDefault="00C25DA5" w:rsidP="00C25DA5">
            <w:r w:rsidRPr="00C25DA5">
              <w:lastRenderedPageBreak/>
              <w:t>5.689735</w:t>
            </w:r>
          </w:p>
        </w:tc>
        <w:tc>
          <w:tcPr>
            <w:tcW w:w="1060" w:type="dxa"/>
            <w:noWrap/>
            <w:hideMark/>
          </w:tcPr>
          <w:p w14:paraId="7B6C2334" w14:textId="77777777" w:rsidR="00C25DA5" w:rsidRPr="00C25DA5" w:rsidRDefault="00C25DA5" w:rsidP="00C25DA5">
            <w:r w:rsidRPr="00C25DA5">
              <w:t>5.377553</w:t>
            </w:r>
          </w:p>
        </w:tc>
      </w:tr>
      <w:tr w:rsidR="00C25DA5" w:rsidRPr="00C25DA5" w14:paraId="409B361B" w14:textId="77777777" w:rsidTr="00C25DA5">
        <w:trPr>
          <w:trHeight w:val="300"/>
        </w:trPr>
        <w:tc>
          <w:tcPr>
            <w:tcW w:w="1060" w:type="dxa"/>
            <w:noWrap/>
            <w:hideMark/>
          </w:tcPr>
          <w:p w14:paraId="60BB58B1" w14:textId="77777777" w:rsidR="00C25DA5" w:rsidRPr="00C25DA5" w:rsidRDefault="00C25DA5" w:rsidP="00C25DA5">
            <w:r w:rsidRPr="00C25DA5">
              <w:t>6.751398</w:t>
            </w:r>
          </w:p>
        </w:tc>
        <w:tc>
          <w:tcPr>
            <w:tcW w:w="1060" w:type="dxa"/>
            <w:noWrap/>
            <w:hideMark/>
          </w:tcPr>
          <w:p w14:paraId="0E4678F6" w14:textId="77777777" w:rsidR="00C25DA5" w:rsidRPr="00C25DA5" w:rsidRDefault="00C25DA5" w:rsidP="00C25DA5">
            <w:r w:rsidRPr="00C25DA5">
              <w:t>6.439986</w:t>
            </w:r>
          </w:p>
        </w:tc>
      </w:tr>
      <w:tr w:rsidR="00C25DA5" w:rsidRPr="00C25DA5" w14:paraId="62E93BB5" w14:textId="77777777" w:rsidTr="00C25DA5">
        <w:trPr>
          <w:trHeight w:val="300"/>
        </w:trPr>
        <w:tc>
          <w:tcPr>
            <w:tcW w:w="1060" w:type="dxa"/>
            <w:noWrap/>
            <w:hideMark/>
          </w:tcPr>
          <w:p w14:paraId="1D778141" w14:textId="77777777" w:rsidR="00C25DA5" w:rsidRPr="00C25DA5" w:rsidRDefault="00C25DA5" w:rsidP="00C25DA5">
            <w:r w:rsidRPr="00C25DA5">
              <w:t>5.773581</w:t>
            </w:r>
          </w:p>
        </w:tc>
        <w:tc>
          <w:tcPr>
            <w:tcW w:w="1060" w:type="dxa"/>
            <w:noWrap/>
            <w:hideMark/>
          </w:tcPr>
          <w:p w14:paraId="0CA64D1E" w14:textId="77777777" w:rsidR="00C25DA5" w:rsidRPr="00C25DA5" w:rsidRDefault="00C25DA5" w:rsidP="00C25DA5">
            <w:r w:rsidRPr="00C25DA5">
              <w:t>5.940533</w:t>
            </w:r>
          </w:p>
        </w:tc>
      </w:tr>
      <w:tr w:rsidR="00C25DA5" w:rsidRPr="00C25DA5" w14:paraId="7DBA60AD" w14:textId="77777777" w:rsidTr="00C25DA5">
        <w:trPr>
          <w:trHeight w:val="300"/>
        </w:trPr>
        <w:tc>
          <w:tcPr>
            <w:tcW w:w="1060" w:type="dxa"/>
            <w:noWrap/>
            <w:hideMark/>
          </w:tcPr>
          <w:p w14:paraId="28A4775B" w14:textId="77777777" w:rsidR="00C25DA5" w:rsidRPr="00C25DA5" w:rsidRDefault="00C25DA5" w:rsidP="00C25DA5">
            <w:r w:rsidRPr="00C25DA5">
              <w:t>5.370157</w:t>
            </w:r>
          </w:p>
        </w:tc>
        <w:tc>
          <w:tcPr>
            <w:tcW w:w="1060" w:type="dxa"/>
            <w:noWrap/>
            <w:hideMark/>
          </w:tcPr>
          <w:p w14:paraId="4883A76A" w14:textId="77777777" w:rsidR="00C25DA5" w:rsidRPr="00C25DA5" w:rsidRDefault="00C25DA5" w:rsidP="00C25DA5">
            <w:r w:rsidRPr="00C25DA5">
              <w:t>4.465872</w:t>
            </w:r>
          </w:p>
        </w:tc>
      </w:tr>
      <w:tr w:rsidR="00C25DA5" w:rsidRPr="00C25DA5" w14:paraId="2064C63D" w14:textId="77777777" w:rsidTr="00C25DA5">
        <w:trPr>
          <w:trHeight w:val="300"/>
        </w:trPr>
        <w:tc>
          <w:tcPr>
            <w:tcW w:w="1060" w:type="dxa"/>
            <w:noWrap/>
            <w:hideMark/>
          </w:tcPr>
          <w:p w14:paraId="721BBE83" w14:textId="77777777" w:rsidR="00C25DA5" w:rsidRPr="00C25DA5" w:rsidRDefault="00C25DA5" w:rsidP="00C25DA5">
            <w:r w:rsidRPr="00C25DA5">
              <w:t>7.672519</w:t>
            </w:r>
          </w:p>
        </w:tc>
        <w:tc>
          <w:tcPr>
            <w:tcW w:w="1060" w:type="dxa"/>
            <w:noWrap/>
            <w:hideMark/>
          </w:tcPr>
          <w:p w14:paraId="2D68968F" w14:textId="77777777" w:rsidR="00C25DA5" w:rsidRPr="00C25DA5" w:rsidRDefault="00C25DA5" w:rsidP="00C25DA5">
            <w:r w:rsidRPr="00C25DA5">
              <w:t>5.926859</w:t>
            </w:r>
          </w:p>
        </w:tc>
      </w:tr>
      <w:tr w:rsidR="00C25DA5" w:rsidRPr="00C25DA5" w14:paraId="43F2C9C3" w14:textId="77777777" w:rsidTr="00C25DA5">
        <w:trPr>
          <w:trHeight w:val="300"/>
        </w:trPr>
        <w:tc>
          <w:tcPr>
            <w:tcW w:w="1060" w:type="dxa"/>
            <w:noWrap/>
            <w:hideMark/>
          </w:tcPr>
          <w:p w14:paraId="5515E747" w14:textId="77777777" w:rsidR="00C25DA5" w:rsidRPr="00C25DA5" w:rsidRDefault="00C25DA5" w:rsidP="00C25DA5">
            <w:r w:rsidRPr="00C25DA5">
              <w:t>6.319379</w:t>
            </w:r>
          </w:p>
        </w:tc>
        <w:tc>
          <w:tcPr>
            <w:tcW w:w="1060" w:type="dxa"/>
            <w:noWrap/>
            <w:hideMark/>
          </w:tcPr>
          <w:p w14:paraId="445675D2" w14:textId="77777777" w:rsidR="00C25DA5" w:rsidRPr="00C25DA5" w:rsidRDefault="00C25DA5" w:rsidP="00C25DA5">
            <w:r w:rsidRPr="00C25DA5">
              <w:t>5.430442</w:t>
            </w:r>
          </w:p>
        </w:tc>
      </w:tr>
      <w:tr w:rsidR="00C25DA5" w:rsidRPr="00C25DA5" w14:paraId="52CCF9E6" w14:textId="77777777" w:rsidTr="00C25DA5">
        <w:trPr>
          <w:trHeight w:val="300"/>
        </w:trPr>
        <w:tc>
          <w:tcPr>
            <w:tcW w:w="1060" w:type="dxa"/>
            <w:noWrap/>
            <w:hideMark/>
          </w:tcPr>
          <w:p w14:paraId="54331AD3" w14:textId="77777777" w:rsidR="00C25DA5" w:rsidRPr="00C25DA5" w:rsidRDefault="00C25DA5" w:rsidP="00C25DA5">
            <w:r w:rsidRPr="00C25DA5">
              <w:t>6.554023</w:t>
            </w:r>
          </w:p>
        </w:tc>
        <w:tc>
          <w:tcPr>
            <w:tcW w:w="1060" w:type="dxa"/>
            <w:noWrap/>
            <w:hideMark/>
          </w:tcPr>
          <w:p w14:paraId="4798FA73" w14:textId="77777777" w:rsidR="00C25DA5" w:rsidRPr="00C25DA5" w:rsidRDefault="00C25DA5" w:rsidP="00C25DA5">
            <w:r w:rsidRPr="00C25DA5">
              <w:t>5.226155</w:t>
            </w:r>
          </w:p>
        </w:tc>
      </w:tr>
      <w:tr w:rsidR="00C25DA5" w:rsidRPr="00C25DA5" w14:paraId="7D17A328" w14:textId="77777777" w:rsidTr="00C25DA5">
        <w:trPr>
          <w:trHeight w:val="300"/>
        </w:trPr>
        <w:tc>
          <w:tcPr>
            <w:tcW w:w="1060" w:type="dxa"/>
            <w:noWrap/>
            <w:hideMark/>
          </w:tcPr>
          <w:p w14:paraId="1C9BCA84" w14:textId="77777777" w:rsidR="00C25DA5" w:rsidRPr="00C25DA5" w:rsidRDefault="00C25DA5" w:rsidP="00C25DA5">
            <w:r w:rsidRPr="00C25DA5">
              <w:t>5.360201</w:t>
            </w:r>
          </w:p>
        </w:tc>
        <w:tc>
          <w:tcPr>
            <w:tcW w:w="1060" w:type="dxa"/>
            <w:noWrap/>
            <w:hideMark/>
          </w:tcPr>
          <w:p w14:paraId="1FB4FB41" w14:textId="77777777" w:rsidR="00C25DA5" w:rsidRPr="00C25DA5" w:rsidRDefault="00C25DA5" w:rsidP="00C25DA5">
            <w:r w:rsidRPr="00C25DA5">
              <w:t>6.128173</w:t>
            </w:r>
          </w:p>
        </w:tc>
      </w:tr>
      <w:tr w:rsidR="00C25DA5" w:rsidRPr="00C25DA5" w14:paraId="4AE60C3C" w14:textId="77777777" w:rsidTr="00C25DA5">
        <w:trPr>
          <w:trHeight w:val="300"/>
        </w:trPr>
        <w:tc>
          <w:tcPr>
            <w:tcW w:w="1060" w:type="dxa"/>
            <w:noWrap/>
            <w:hideMark/>
          </w:tcPr>
          <w:p w14:paraId="0EDB3EBA" w14:textId="77777777" w:rsidR="00C25DA5" w:rsidRPr="00C25DA5" w:rsidRDefault="00C25DA5" w:rsidP="00C25DA5">
            <w:r w:rsidRPr="00C25DA5">
              <w:t>6.064494</w:t>
            </w:r>
          </w:p>
        </w:tc>
        <w:tc>
          <w:tcPr>
            <w:tcW w:w="1060" w:type="dxa"/>
            <w:noWrap/>
            <w:hideMark/>
          </w:tcPr>
          <w:p w14:paraId="0C022F87" w14:textId="77777777" w:rsidR="00C25DA5" w:rsidRPr="00C25DA5" w:rsidRDefault="00C25DA5" w:rsidP="00C25DA5">
            <w:r w:rsidRPr="00C25DA5">
              <w:t>6.4217</w:t>
            </w:r>
          </w:p>
        </w:tc>
      </w:tr>
      <w:tr w:rsidR="00C25DA5" w:rsidRPr="00C25DA5" w14:paraId="521AF831" w14:textId="77777777" w:rsidTr="00C25DA5">
        <w:trPr>
          <w:trHeight w:val="300"/>
        </w:trPr>
        <w:tc>
          <w:tcPr>
            <w:tcW w:w="1060" w:type="dxa"/>
            <w:noWrap/>
            <w:hideMark/>
          </w:tcPr>
          <w:p w14:paraId="76702A7E" w14:textId="77777777" w:rsidR="00C25DA5" w:rsidRPr="00C25DA5" w:rsidRDefault="00C25DA5" w:rsidP="00C25DA5">
            <w:r w:rsidRPr="00C25DA5">
              <w:t>6.588738</w:t>
            </w:r>
          </w:p>
        </w:tc>
        <w:tc>
          <w:tcPr>
            <w:tcW w:w="1060" w:type="dxa"/>
            <w:noWrap/>
            <w:hideMark/>
          </w:tcPr>
          <w:p w14:paraId="481B15AA" w14:textId="77777777" w:rsidR="00C25DA5" w:rsidRPr="00C25DA5" w:rsidRDefault="00C25DA5" w:rsidP="00C25DA5">
            <w:r w:rsidRPr="00C25DA5">
              <w:t>6.351896</w:t>
            </w:r>
          </w:p>
        </w:tc>
      </w:tr>
      <w:tr w:rsidR="00C25DA5" w:rsidRPr="00C25DA5" w14:paraId="64359465" w14:textId="77777777" w:rsidTr="00C25DA5">
        <w:trPr>
          <w:trHeight w:val="300"/>
        </w:trPr>
        <w:tc>
          <w:tcPr>
            <w:tcW w:w="1060" w:type="dxa"/>
            <w:noWrap/>
            <w:hideMark/>
          </w:tcPr>
          <w:p w14:paraId="6FB05D0B" w14:textId="77777777" w:rsidR="00C25DA5" w:rsidRPr="00C25DA5" w:rsidRDefault="00C25DA5" w:rsidP="00C25DA5">
            <w:r w:rsidRPr="00C25DA5">
              <w:t>5.579205</w:t>
            </w:r>
          </w:p>
        </w:tc>
        <w:tc>
          <w:tcPr>
            <w:tcW w:w="1060" w:type="dxa"/>
            <w:noWrap/>
            <w:hideMark/>
          </w:tcPr>
          <w:p w14:paraId="5BEE68C1" w14:textId="77777777" w:rsidR="00C25DA5" w:rsidRPr="00C25DA5" w:rsidRDefault="00C25DA5" w:rsidP="00C25DA5">
            <w:r w:rsidRPr="00C25DA5">
              <w:t>5.112548</w:t>
            </w:r>
          </w:p>
        </w:tc>
      </w:tr>
      <w:tr w:rsidR="00C25DA5" w:rsidRPr="00C25DA5" w14:paraId="2DDE92E1" w14:textId="77777777" w:rsidTr="00C25DA5">
        <w:trPr>
          <w:trHeight w:val="300"/>
        </w:trPr>
        <w:tc>
          <w:tcPr>
            <w:tcW w:w="1060" w:type="dxa"/>
            <w:noWrap/>
            <w:hideMark/>
          </w:tcPr>
          <w:p w14:paraId="768AD030" w14:textId="77777777" w:rsidR="00C25DA5" w:rsidRPr="00C25DA5" w:rsidRDefault="00C25DA5" w:rsidP="00C25DA5">
            <w:r w:rsidRPr="00C25DA5">
              <w:t>6.800558</w:t>
            </w:r>
          </w:p>
        </w:tc>
        <w:tc>
          <w:tcPr>
            <w:tcW w:w="1060" w:type="dxa"/>
            <w:noWrap/>
            <w:hideMark/>
          </w:tcPr>
          <w:p w14:paraId="4661B80D" w14:textId="77777777" w:rsidR="00C25DA5" w:rsidRPr="00C25DA5" w:rsidRDefault="00C25DA5" w:rsidP="00C25DA5">
            <w:r w:rsidRPr="00C25DA5">
              <w:t>5.483551</w:t>
            </w:r>
          </w:p>
        </w:tc>
      </w:tr>
      <w:tr w:rsidR="00C25DA5" w:rsidRPr="00C25DA5" w14:paraId="046D0290" w14:textId="77777777" w:rsidTr="00C25DA5">
        <w:trPr>
          <w:trHeight w:val="300"/>
        </w:trPr>
        <w:tc>
          <w:tcPr>
            <w:tcW w:w="1060" w:type="dxa"/>
            <w:noWrap/>
            <w:hideMark/>
          </w:tcPr>
          <w:p w14:paraId="4EB59881" w14:textId="77777777" w:rsidR="00C25DA5" w:rsidRPr="00C25DA5" w:rsidRDefault="00C25DA5" w:rsidP="00C25DA5">
            <w:r w:rsidRPr="00C25DA5">
              <w:t>6.019489</w:t>
            </w:r>
          </w:p>
        </w:tc>
        <w:tc>
          <w:tcPr>
            <w:tcW w:w="1060" w:type="dxa"/>
            <w:noWrap/>
            <w:hideMark/>
          </w:tcPr>
          <w:p w14:paraId="27A873BE" w14:textId="77777777" w:rsidR="00C25DA5" w:rsidRPr="00C25DA5" w:rsidRDefault="00C25DA5" w:rsidP="00C25DA5">
            <w:r w:rsidRPr="00C25DA5">
              <w:t>5.931884</w:t>
            </w:r>
          </w:p>
        </w:tc>
      </w:tr>
      <w:tr w:rsidR="00C25DA5" w:rsidRPr="00C25DA5" w14:paraId="53F4F5DB" w14:textId="77777777" w:rsidTr="00C25DA5">
        <w:trPr>
          <w:trHeight w:val="300"/>
        </w:trPr>
        <w:tc>
          <w:tcPr>
            <w:tcW w:w="1060" w:type="dxa"/>
            <w:noWrap/>
            <w:hideMark/>
          </w:tcPr>
          <w:p w14:paraId="65080D2D" w14:textId="77777777" w:rsidR="00C25DA5" w:rsidRPr="00C25DA5" w:rsidRDefault="00C25DA5" w:rsidP="00C25DA5">
            <w:r w:rsidRPr="00C25DA5">
              <w:t>6.266645</w:t>
            </w:r>
          </w:p>
        </w:tc>
        <w:tc>
          <w:tcPr>
            <w:tcW w:w="1060" w:type="dxa"/>
            <w:noWrap/>
            <w:hideMark/>
          </w:tcPr>
          <w:p w14:paraId="00EE6067" w14:textId="77777777" w:rsidR="00C25DA5" w:rsidRPr="00C25DA5" w:rsidRDefault="00C25DA5" w:rsidP="00C25DA5">
            <w:r w:rsidRPr="00C25DA5">
              <w:t>6.382882</w:t>
            </w:r>
          </w:p>
        </w:tc>
      </w:tr>
    </w:tbl>
    <w:p w14:paraId="1AA16FC4" w14:textId="69DFB8FC" w:rsidR="00071895" w:rsidRDefault="00071895">
      <w:r>
        <w:br w:type="page"/>
      </w:r>
    </w:p>
    <w:p w14:paraId="2501A584" w14:textId="77C7EEE2" w:rsidR="00071895" w:rsidRDefault="00251248" w:rsidP="00B9433E">
      <w:pPr>
        <w:pStyle w:val="Heading1"/>
      </w:pPr>
      <w:r>
        <w:lastRenderedPageBreak/>
        <w:t>References</w:t>
      </w:r>
    </w:p>
    <w:p w14:paraId="29EA1F0B" w14:textId="67F12E3A" w:rsidR="00FB3CE5" w:rsidRPr="00FB3CE5" w:rsidRDefault="00251248" w:rsidP="00FB3CE5">
      <w:pPr>
        <w:pStyle w:val="EndNoteBibliography"/>
        <w:ind w:left="720" w:hanging="720"/>
        <w:rPr>
          <w:noProof/>
        </w:rPr>
      </w:pPr>
      <w:r>
        <w:fldChar w:fldCharType="begin"/>
      </w:r>
      <w:r>
        <w:instrText xml:space="preserve"> ADDIN EN.REFLIST </w:instrText>
      </w:r>
      <w:r>
        <w:fldChar w:fldCharType="separate"/>
      </w:r>
      <w:r w:rsidR="00FB3CE5" w:rsidRPr="00FB3CE5">
        <w:rPr>
          <w:noProof/>
        </w:rPr>
        <w:t xml:space="preserve">Bajaj, J. K., Kaur, K., Arora, R., &amp; Singh, S. J. (2018). Introduction of feedback for better learning. </w:t>
      </w:r>
      <w:r w:rsidR="00FB3CE5" w:rsidRPr="00FB3CE5">
        <w:rPr>
          <w:i/>
          <w:noProof/>
        </w:rPr>
        <w:t xml:space="preserve">JOURNAL OF CLINICAL AND DIAGNOSTIC RESEARCH. </w:t>
      </w:r>
      <w:hyperlink r:id="rId15" w:history="1">
        <w:r w:rsidR="00FB3CE5" w:rsidRPr="00FB3CE5">
          <w:rPr>
            <w:rStyle w:val="Hyperlink"/>
            <w:i/>
            <w:noProof/>
          </w:rPr>
          <w:t>https://doi</w:t>
        </w:r>
      </w:hyperlink>
      <w:r w:rsidR="00FB3CE5" w:rsidRPr="00FB3CE5">
        <w:rPr>
          <w:i/>
          <w:noProof/>
        </w:rPr>
        <w:t>. org/10.7860/JCDR/2018/36744.12402</w:t>
      </w:r>
      <w:r w:rsidR="00FB3CE5" w:rsidRPr="00FB3CE5">
        <w:rPr>
          <w:noProof/>
        </w:rPr>
        <w:t xml:space="preserve">. </w:t>
      </w:r>
    </w:p>
    <w:p w14:paraId="06600863" w14:textId="4169FCDA" w:rsidR="00FB3CE5" w:rsidRPr="00FB3CE5" w:rsidRDefault="00FB3CE5" w:rsidP="00FB3CE5">
      <w:pPr>
        <w:pStyle w:val="EndNoteBibliography"/>
        <w:ind w:left="720" w:hanging="720"/>
        <w:rPr>
          <w:noProof/>
        </w:rPr>
      </w:pPr>
      <w:r w:rsidRPr="00FB3CE5">
        <w:rPr>
          <w:noProof/>
        </w:rPr>
        <w:t xml:space="preserve">Dankar, F. K., &amp; Ibrahim, M. (2021). Fake it till you make it: Guidelines for effective synthetic data generation. </w:t>
      </w:r>
      <w:r w:rsidRPr="00FB3CE5">
        <w:rPr>
          <w:i/>
          <w:noProof/>
        </w:rPr>
        <w:t>Applied Sciences, 11</w:t>
      </w:r>
      <w:r w:rsidRPr="00FB3CE5">
        <w:rPr>
          <w:noProof/>
        </w:rPr>
        <w:t>(5), 2158. doi:</w:t>
      </w:r>
      <w:hyperlink r:id="rId16" w:history="1">
        <w:r w:rsidRPr="00FB3CE5">
          <w:rPr>
            <w:rStyle w:val="Hyperlink"/>
            <w:noProof/>
          </w:rPr>
          <w:t>https://doi.org/10.3390/app11052158</w:t>
        </w:r>
      </w:hyperlink>
    </w:p>
    <w:p w14:paraId="365A7FF9" w14:textId="6D51EFCE" w:rsidR="00FB3CE5" w:rsidRPr="00FB3CE5" w:rsidRDefault="00FB3CE5" w:rsidP="00FB3CE5">
      <w:pPr>
        <w:pStyle w:val="EndNoteBibliography"/>
        <w:ind w:left="720" w:hanging="720"/>
        <w:rPr>
          <w:noProof/>
        </w:rPr>
      </w:pPr>
      <w:r w:rsidRPr="00FB3CE5">
        <w:rPr>
          <w:noProof/>
        </w:rPr>
        <w:t xml:space="preserve">Franklin, C., Kader, G., Mewborn, D., Moreno, J., Peck, R., Perry, M., &amp; Scheaffer, R. (2007). </w:t>
      </w:r>
      <w:r w:rsidRPr="00FB3CE5">
        <w:rPr>
          <w:i/>
          <w:noProof/>
        </w:rPr>
        <w:t>Guidelines for assessment and instruction in statistics education (GAISE) report</w:t>
      </w:r>
      <w:r w:rsidRPr="00FB3CE5">
        <w:rPr>
          <w:noProof/>
        </w:rPr>
        <w:t xml:space="preserve">. Retrieved from </w:t>
      </w:r>
      <w:hyperlink r:id="rId17" w:history="1">
        <w:r w:rsidRPr="00FB3CE5">
          <w:rPr>
            <w:rStyle w:val="Hyperlink"/>
            <w:noProof/>
          </w:rPr>
          <w:t>https://www.amstat.org/asa/files/pdfs/gaise/gaiseprek-12_full.pdf</w:t>
        </w:r>
      </w:hyperlink>
    </w:p>
    <w:p w14:paraId="487D825C" w14:textId="055AF829" w:rsidR="00FB3CE5" w:rsidRPr="00FB3CE5" w:rsidRDefault="00FB3CE5" w:rsidP="00FB3CE5">
      <w:pPr>
        <w:pStyle w:val="EndNoteBibliography"/>
        <w:ind w:left="720" w:hanging="720"/>
        <w:rPr>
          <w:noProof/>
        </w:rPr>
      </w:pPr>
      <w:r w:rsidRPr="00FB3CE5">
        <w:rPr>
          <w:noProof/>
        </w:rPr>
        <w:t xml:space="preserve">Liu, B., Salvendry, G., &amp; Kuczek, T. (1999). The role of visualization in understanding abstract concepts. </w:t>
      </w:r>
      <w:r w:rsidRPr="00FB3CE5">
        <w:rPr>
          <w:i/>
          <w:noProof/>
        </w:rPr>
        <w:t>International Journal of Cognitive Ergonomics, 3</w:t>
      </w:r>
      <w:r w:rsidRPr="00FB3CE5">
        <w:rPr>
          <w:noProof/>
        </w:rPr>
        <w:t>(4), 289-305. doi:</w:t>
      </w:r>
      <w:hyperlink r:id="rId18" w:history="1">
        <w:r w:rsidRPr="00FB3CE5">
          <w:rPr>
            <w:rStyle w:val="Hyperlink"/>
            <w:noProof/>
          </w:rPr>
          <w:t>https://doi.org/10.1207/s15327566ijce0304_2</w:t>
        </w:r>
      </w:hyperlink>
    </w:p>
    <w:p w14:paraId="58BC8C94" w14:textId="22EACFBA" w:rsidR="00FB3CE5" w:rsidRPr="00FB3CE5" w:rsidRDefault="00FB3CE5" w:rsidP="00FB3CE5">
      <w:pPr>
        <w:pStyle w:val="EndNoteBibliography"/>
        <w:ind w:left="720" w:hanging="720"/>
        <w:rPr>
          <w:noProof/>
        </w:rPr>
      </w:pPr>
      <w:r w:rsidRPr="00FB3CE5">
        <w:rPr>
          <w:noProof/>
        </w:rPr>
        <w:t xml:space="preserve">Mansour, M. F., Aly, T., &amp; Gheith, M. Python Based End User Computing Framework to Empowering Excel Efficiency. Retrieved from </w:t>
      </w:r>
      <w:hyperlink r:id="rId19" w:history="1">
        <w:r w:rsidRPr="00FB3CE5">
          <w:rPr>
            <w:rStyle w:val="Hyperlink"/>
            <w:noProof/>
          </w:rPr>
          <w:t>https://www.ijraset.com/best-journal/python-based-end-user-computing-framework-to-empowering-excel-efficiency</w:t>
        </w:r>
      </w:hyperlink>
    </w:p>
    <w:p w14:paraId="64BF40E1" w14:textId="75A8047B" w:rsidR="00FB3CE5" w:rsidRPr="00FB3CE5" w:rsidRDefault="00FB3CE5" w:rsidP="00FB3CE5">
      <w:pPr>
        <w:pStyle w:val="EndNoteBibliography"/>
        <w:ind w:left="720" w:hanging="720"/>
        <w:rPr>
          <w:noProof/>
        </w:rPr>
      </w:pPr>
      <w:r w:rsidRPr="00FB3CE5">
        <w:rPr>
          <w:noProof/>
        </w:rPr>
        <w:t xml:space="preserve">Marasinghe, M. G., Meeker, W. Q., Cook, D., &amp; Shin, T.-s. (1996). Using graphics and simulation to teach statistical concepts. </w:t>
      </w:r>
      <w:r w:rsidRPr="00FB3CE5">
        <w:rPr>
          <w:i/>
          <w:noProof/>
        </w:rPr>
        <w:t>The American Statistician, 50</w:t>
      </w:r>
      <w:r w:rsidRPr="00FB3CE5">
        <w:rPr>
          <w:noProof/>
        </w:rPr>
        <w:t>(4), 342-351. doi:</w:t>
      </w:r>
      <w:hyperlink r:id="rId20" w:history="1">
        <w:r w:rsidRPr="00FB3CE5">
          <w:rPr>
            <w:rStyle w:val="Hyperlink"/>
            <w:noProof/>
          </w:rPr>
          <w:t>https://doi.org/10.2307/2684932</w:t>
        </w:r>
      </w:hyperlink>
    </w:p>
    <w:p w14:paraId="767D6D11" w14:textId="77777777" w:rsidR="00FB3CE5" w:rsidRPr="00FB3CE5" w:rsidRDefault="00FB3CE5" w:rsidP="00FB3CE5">
      <w:pPr>
        <w:pStyle w:val="EndNoteBibliography"/>
        <w:ind w:left="720" w:hanging="720"/>
        <w:rPr>
          <w:noProof/>
        </w:rPr>
      </w:pPr>
      <w:r w:rsidRPr="00FB3CE5">
        <w:rPr>
          <w:noProof/>
        </w:rPr>
        <w:t xml:space="preserve">Rhem, A. J. (2023). Ethical use of data in AI Applications. In </w:t>
      </w:r>
      <w:r w:rsidRPr="00FB3CE5">
        <w:rPr>
          <w:i/>
          <w:noProof/>
        </w:rPr>
        <w:t>Ethics-Scientific Research, Ethical Issues, Artificial Intelligence and Education</w:t>
      </w:r>
      <w:r w:rsidRPr="00FB3CE5">
        <w:rPr>
          <w:noProof/>
        </w:rPr>
        <w:t>: IntechOpen.</w:t>
      </w:r>
    </w:p>
    <w:p w14:paraId="52590F34" w14:textId="3703410C" w:rsidR="00FB3CE5" w:rsidRPr="00FB3CE5" w:rsidRDefault="00FB3CE5" w:rsidP="00FB3CE5">
      <w:pPr>
        <w:pStyle w:val="EndNoteBibliography"/>
        <w:ind w:left="720" w:hanging="720"/>
        <w:rPr>
          <w:noProof/>
        </w:rPr>
      </w:pPr>
      <w:r w:rsidRPr="00FB3CE5">
        <w:rPr>
          <w:noProof/>
        </w:rPr>
        <w:t xml:space="preserve">Warner, C. B., &amp; Meehan, A. M. (2001). Microsoft Excel™ as a tool for teaching basic statistics. </w:t>
      </w:r>
      <w:r w:rsidRPr="00FB3CE5">
        <w:rPr>
          <w:i/>
          <w:noProof/>
        </w:rPr>
        <w:t>Teaching of Psychology, 28</w:t>
      </w:r>
      <w:r w:rsidRPr="00FB3CE5">
        <w:rPr>
          <w:noProof/>
        </w:rPr>
        <w:t>(4), 295-298. doi:</w:t>
      </w:r>
      <w:hyperlink r:id="rId21" w:history="1">
        <w:r w:rsidRPr="00FB3CE5">
          <w:rPr>
            <w:rStyle w:val="Hyperlink"/>
            <w:noProof/>
          </w:rPr>
          <w:t>https://doi.org/10.1207/s15328023top2804_11</w:t>
        </w:r>
      </w:hyperlink>
    </w:p>
    <w:p w14:paraId="7E4FDDCD" w14:textId="2FC276EC" w:rsidR="00971270" w:rsidRDefault="00251248" w:rsidP="0020321B">
      <w:r>
        <w:fldChar w:fldCharType="end"/>
      </w:r>
    </w:p>
    <w:sectPr w:rsidR="00971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34CCF"/>
    <w:multiLevelType w:val="hybridMultilevel"/>
    <w:tmpl w:val="D71A7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32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pxd0ed7psseye9xspxvwdk0pvs2pwd0rdw&quot;&gt;FormativeScaffolding&lt;record-ids&gt;&lt;item&gt;96&lt;/item&gt;&lt;item&gt;97&lt;/item&gt;&lt;item&gt;98&lt;/item&gt;&lt;item&gt;100&lt;/item&gt;&lt;item&gt;101&lt;/item&gt;&lt;item&gt;102&lt;/item&gt;&lt;item&gt;103&lt;/item&gt;&lt;item&gt;104&lt;/item&gt;&lt;/record-ids&gt;&lt;/item&gt;&lt;/Libraries&gt;"/>
  </w:docVars>
  <w:rsids>
    <w:rsidRoot w:val="00ED3D66"/>
    <w:rsid w:val="00030C45"/>
    <w:rsid w:val="00031B6D"/>
    <w:rsid w:val="00071895"/>
    <w:rsid w:val="000718FC"/>
    <w:rsid w:val="00075A67"/>
    <w:rsid w:val="000C0CB8"/>
    <w:rsid w:val="000D458E"/>
    <w:rsid w:val="000D5C50"/>
    <w:rsid w:val="000D68BF"/>
    <w:rsid w:val="001228C6"/>
    <w:rsid w:val="001246B7"/>
    <w:rsid w:val="0014265C"/>
    <w:rsid w:val="001737FA"/>
    <w:rsid w:val="00180CBF"/>
    <w:rsid w:val="00183533"/>
    <w:rsid w:val="00190253"/>
    <w:rsid w:val="001A0822"/>
    <w:rsid w:val="001A170D"/>
    <w:rsid w:val="001C2B52"/>
    <w:rsid w:val="001F1A2E"/>
    <w:rsid w:val="002027F1"/>
    <w:rsid w:val="0020321B"/>
    <w:rsid w:val="002048AB"/>
    <w:rsid w:val="00251248"/>
    <w:rsid w:val="00292DC5"/>
    <w:rsid w:val="002B7168"/>
    <w:rsid w:val="0038543B"/>
    <w:rsid w:val="003921E3"/>
    <w:rsid w:val="003B6CC3"/>
    <w:rsid w:val="003C21B5"/>
    <w:rsid w:val="003C7758"/>
    <w:rsid w:val="00403B0E"/>
    <w:rsid w:val="00411A72"/>
    <w:rsid w:val="00417EF4"/>
    <w:rsid w:val="00432010"/>
    <w:rsid w:val="004A06EB"/>
    <w:rsid w:val="004A4980"/>
    <w:rsid w:val="004B3AB3"/>
    <w:rsid w:val="004E6619"/>
    <w:rsid w:val="00587A1F"/>
    <w:rsid w:val="005A5B70"/>
    <w:rsid w:val="005E596E"/>
    <w:rsid w:val="00614539"/>
    <w:rsid w:val="00651FBF"/>
    <w:rsid w:val="00665ADB"/>
    <w:rsid w:val="00670681"/>
    <w:rsid w:val="006A159B"/>
    <w:rsid w:val="006C1CD6"/>
    <w:rsid w:val="006E4129"/>
    <w:rsid w:val="006F6B81"/>
    <w:rsid w:val="00705338"/>
    <w:rsid w:val="00715185"/>
    <w:rsid w:val="00743A03"/>
    <w:rsid w:val="007733F4"/>
    <w:rsid w:val="007C01D7"/>
    <w:rsid w:val="007D701F"/>
    <w:rsid w:val="007F7D8C"/>
    <w:rsid w:val="00823691"/>
    <w:rsid w:val="008510BD"/>
    <w:rsid w:val="008540BF"/>
    <w:rsid w:val="00855C5A"/>
    <w:rsid w:val="008903A2"/>
    <w:rsid w:val="008C45C5"/>
    <w:rsid w:val="009647E4"/>
    <w:rsid w:val="00970683"/>
    <w:rsid w:val="00971270"/>
    <w:rsid w:val="009B1BDA"/>
    <w:rsid w:val="009C5EE6"/>
    <w:rsid w:val="009D20D3"/>
    <w:rsid w:val="009F01D4"/>
    <w:rsid w:val="00A26BF7"/>
    <w:rsid w:val="00A35E39"/>
    <w:rsid w:val="00A51E01"/>
    <w:rsid w:val="00AA7516"/>
    <w:rsid w:val="00AB71FB"/>
    <w:rsid w:val="00AD15F4"/>
    <w:rsid w:val="00B451DD"/>
    <w:rsid w:val="00B608AA"/>
    <w:rsid w:val="00B73B20"/>
    <w:rsid w:val="00B86B03"/>
    <w:rsid w:val="00B920C1"/>
    <w:rsid w:val="00B92425"/>
    <w:rsid w:val="00B9433E"/>
    <w:rsid w:val="00BC2785"/>
    <w:rsid w:val="00BD4E77"/>
    <w:rsid w:val="00BE384C"/>
    <w:rsid w:val="00C17DB9"/>
    <w:rsid w:val="00C25DA5"/>
    <w:rsid w:val="00CA0838"/>
    <w:rsid w:val="00CA20C5"/>
    <w:rsid w:val="00CB3847"/>
    <w:rsid w:val="00CB6D4F"/>
    <w:rsid w:val="00CE2FC9"/>
    <w:rsid w:val="00D22A4B"/>
    <w:rsid w:val="00D24C4B"/>
    <w:rsid w:val="00D52E94"/>
    <w:rsid w:val="00D7066F"/>
    <w:rsid w:val="00D9677E"/>
    <w:rsid w:val="00DB3E6A"/>
    <w:rsid w:val="00DD1FD8"/>
    <w:rsid w:val="00E036F7"/>
    <w:rsid w:val="00E10747"/>
    <w:rsid w:val="00E43D00"/>
    <w:rsid w:val="00E45B7C"/>
    <w:rsid w:val="00E62699"/>
    <w:rsid w:val="00E62705"/>
    <w:rsid w:val="00E6315A"/>
    <w:rsid w:val="00ED3D66"/>
    <w:rsid w:val="00F50216"/>
    <w:rsid w:val="00F861DD"/>
    <w:rsid w:val="00F92F68"/>
    <w:rsid w:val="00F936EA"/>
    <w:rsid w:val="00F939BE"/>
    <w:rsid w:val="00F96E4E"/>
    <w:rsid w:val="00FA2F7C"/>
    <w:rsid w:val="00FB3CE5"/>
    <w:rsid w:val="00FE3D7A"/>
    <w:rsid w:val="00FE70E0"/>
    <w:rsid w:val="30CC75B2"/>
    <w:rsid w:val="57B2E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0718"/>
  <w15:chartTrackingRefBased/>
  <w15:docId w15:val="{5C758672-5A64-C941-8EEE-27895FC2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3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D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D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D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D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3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D66"/>
    <w:rPr>
      <w:rFonts w:eastAsiaTheme="majorEastAsia" w:cstheme="majorBidi"/>
      <w:color w:val="272727" w:themeColor="text1" w:themeTint="D8"/>
    </w:rPr>
  </w:style>
  <w:style w:type="paragraph" w:styleId="Title">
    <w:name w:val="Title"/>
    <w:basedOn w:val="Normal"/>
    <w:next w:val="Normal"/>
    <w:link w:val="TitleChar"/>
    <w:uiPriority w:val="10"/>
    <w:qFormat/>
    <w:rsid w:val="00ED3D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D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D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3D66"/>
    <w:rPr>
      <w:i/>
      <w:iCs/>
      <w:color w:val="404040" w:themeColor="text1" w:themeTint="BF"/>
    </w:rPr>
  </w:style>
  <w:style w:type="paragraph" w:styleId="ListParagraph">
    <w:name w:val="List Paragraph"/>
    <w:basedOn w:val="Normal"/>
    <w:uiPriority w:val="34"/>
    <w:qFormat/>
    <w:rsid w:val="00ED3D66"/>
    <w:pPr>
      <w:ind w:left="720"/>
      <w:contextualSpacing/>
    </w:pPr>
  </w:style>
  <w:style w:type="character" w:styleId="IntenseEmphasis">
    <w:name w:val="Intense Emphasis"/>
    <w:basedOn w:val="DefaultParagraphFont"/>
    <w:uiPriority w:val="21"/>
    <w:qFormat/>
    <w:rsid w:val="00ED3D66"/>
    <w:rPr>
      <w:i/>
      <w:iCs/>
      <w:color w:val="0F4761" w:themeColor="accent1" w:themeShade="BF"/>
    </w:rPr>
  </w:style>
  <w:style w:type="paragraph" w:styleId="IntenseQuote">
    <w:name w:val="Intense Quote"/>
    <w:basedOn w:val="Normal"/>
    <w:next w:val="Normal"/>
    <w:link w:val="IntenseQuoteChar"/>
    <w:uiPriority w:val="30"/>
    <w:qFormat/>
    <w:rsid w:val="00ED3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D66"/>
    <w:rPr>
      <w:i/>
      <w:iCs/>
      <w:color w:val="0F4761" w:themeColor="accent1" w:themeShade="BF"/>
    </w:rPr>
  </w:style>
  <w:style w:type="character" w:styleId="IntenseReference">
    <w:name w:val="Intense Reference"/>
    <w:basedOn w:val="DefaultParagraphFont"/>
    <w:uiPriority w:val="32"/>
    <w:qFormat/>
    <w:rsid w:val="00ED3D66"/>
    <w:rPr>
      <w:b/>
      <w:bCs/>
      <w:smallCaps/>
      <w:color w:val="0F4761" w:themeColor="accent1" w:themeShade="BF"/>
      <w:spacing w:val="5"/>
    </w:rPr>
  </w:style>
  <w:style w:type="paragraph" w:styleId="Revision">
    <w:name w:val="Revision"/>
    <w:hidden/>
    <w:uiPriority w:val="99"/>
    <w:semiHidden/>
    <w:rsid w:val="00B920C1"/>
  </w:style>
  <w:style w:type="character" w:styleId="CommentReference">
    <w:name w:val="annotation reference"/>
    <w:basedOn w:val="DefaultParagraphFont"/>
    <w:uiPriority w:val="99"/>
    <w:semiHidden/>
    <w:unhideWhenUsed/>
    <w:rsid w:val="00F861DD"/>
    <w:rPr>
      <w:sz w:val="16"/>
      <w:szCs w:val="16"/>
    </w:rPr>
  </w:style>
  <w:style w:type="paragraph" w:styleId="CommentText">
    <w:name w:val="annotation text"/>
    <w:basedOn w:val="Normal"/>
    <w:link w:val="CommentTextChar"/>
    <w:uiPriority w:val="99"/>
    <w:semiHidden/>
    <w:unhideWhenUsed/>
    <w:rsid w:val="00F861DD"/>
    <w:rPr>
      <w:sz w:val="20"/>
      <w:szCs w:val="20"/>
    </w:rPr>
  </w:style>
  <w:style w:type="character" w:customStyle="1" w:styleId="CommentTextChar">
    <w:name w:val="Comment Text Char"/>
    <w:basedOn w:val="DefaultParagraphFont"/>
    <w:link w:val="CommentText"/>
    <w:uiPriority w:val="99"/>
    <w:semiHidden/>
    <w:rsid w:val="00F861DD"/>
    <w:rPr>
      <w:sz w:val="20"/>
      <w:szCs w:val="20"/>
    </w:rPr>
  </w:style>
  <w:style w:type="paragraph" w:styleId="CommentSubject">
    <w:name w:val="annotation subject"/>
    <w:basedOn w:val="CommentText"/>
    <w:next w:val="CommentText"/>
    <w:link w:val="CommentSubjectChar"/>
    <w:uiPriority w:val="99"/>
    <w:semiHidden/>
    <w:unhideWhenUsed/>
    <w:rsid w:val="00F861DD"/>
    <w:rPr>
      <w:b/>
      <w:bCs/>
    </w:rPr>
  </w:style>
  <w:style w:type="character" w:customStyle="1" w:styleId="CommentSubjectChar">
    <w:name w:val="Comment Subject Char"/>
    <w:basedOn w:val="CommentTextChar"/>
    <w:link w:val="CommentSubject"/>
    <w:uiPriority w:val="99"/>
    <w:semiHidden/>
    <w:rsid w:val="00F861DD"/>
    <w:rPr>
      <w:b/>
      <w:bCs/>
      <w:sz w:val="20"/>
      <w:szCs w:val="20"/>
    </w:rPr>
  </w:style>
  <w:style w:type="character" w:styleId="Hyperlink">
    <w:name w:val="Hyperlink"/>
    <w:basedOn w:val="DefaultParagraphFont"/>
    <w:uiPriority w:val="99"/>
    <w:unhideWhenUsed/>
    <w:rsid w:val="00E036F7"/>
    <w:rPr>
      <w:color w:val="467886" w:themeColor="hyperlink"/>
      <w:u w:val="single"/>
    </w:rPr>
  </w:style>
  <w:style w:type="character" w:styleId="UnresolvedMention">
    <w:name w:val="Unresolved Mention"/>
    <w:basedOn w:val="DefaultParagraphFont"/>
    <w:uiPriority w:val="99"/>
    <w:semiHidden/>
    <w:unhideWhenUsed/>
    <w:rsid w:val="00E036F7"/>
    <w:rPr>
      <w:color w:val="605E5C"/>
      <w:shd w:val="clear" w:color="auto" w:fill="E1DFDD"/>
    </w:rPr>
  </w:style>
  <w:style w:type="table" w:styleId="TableGrid">
    <w:name w:val="Table Grid"/>
    <w:basedOn w:val="TableNormal"/>
    <w:uiPriority w:val="39"/>
    <w:rsid w:val="00A5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51248"/>
    <w:pPr>
      <w:jc w:val="center"/>
    </w:pPr>
    <w:rPr>
      <w:rFonts w:ascii="Aptos" w:hAnsi="Aptos"/>
    </w:rPr>
  </w:style>
  <w:style w:type="character" w:customStyle="1" w:styleId="EndNoteBibliographyTitleChar">
    <w:name w:val="EndNote Bibliography Title Char"/>
    <w:basedOn w:val="DefaultParagraphFont"/>
    <w:link w:val="EndNoteBibliographyTitle"/>
    <w:rsid w:val="00251248"/>
    <w:rPr>
      <w:rFonts w:ascii="Aptos" w:hAnsi="Aptos"/>
    </w:rPr>
  </w:style>
  <w:style w:type="paragraph" w:customStyle="1" w:styleId="EndNoteBibliography">
    <w:name w:val="EndNote Bibliography"/>
    <w:basedOn w:val="Normal"/>
    <w:link w:val="EndNoteBibliographyChar"/>
    <w:rsid w:val="00251248"/>
    <w:rPr>
      <w:rFonts w:ascii="Aptos" w:hAnsi="Aptos"/>
    </w:rPr>
  </w:style>
  <w:style w:type="character" w:customStyle="1" w:styleId="EndNoteBibliographyChar">
    <w:name w:val="EndNote Bibliography Char"/>
    <w:basedOn w:val="DefaultParagraphFont"/>
    <w:link w:val="EndNoteBibliography"/>
    <w:rsid w:val="00251248"/>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20274">
      <w:bodyDiv w:val="1"/>
      <w:marLeft w:val="0"/>
      <w:marRight w:val="0"/>
      <w:marTop w:val="0"/>
      <w:marBottom w:val="0"/>
      <w:divBdr>
        <w:top w:val="none" w:sz="0" w:space="0" w:color="auto"/>
        <w:left w:val="none" w:sz="0" w:space="0" w:color="auto"/>
        <w:bottom w:val="none" w:sz="0" w:space="0" w:color="auto"/>
        <w:right w:val="none" w:sz="0" w:space="0" w:color="auto"/>
      </w:divBdr>
    </w:div>
    <w:div w:id="502429062">
      <w:bodyDiv w:val="1"/>
      <w:marLeft w:val="0"/>
      <w:marRight w:val="0"/>
      <w:marTop w:val="0"/>
      <w:marBottom w:val="0"/>
      <w:divBdr>
        <w:top w:val="none" w:sz="0" w:space="0" w:color="auto"/>
        <w:left w:val="none" w:sz="0" w:space="0" w:color="auto"/>
        <w:bottom w:val="none" w:sz="0" w:space="0" w:color="auto"/>
        <w:right w:val="none" w:sz="0" w:space="0" w:color="auto"/>
      </w:divBdr>
    </w:div>
    <w:div w:id="711884360">
      <w:bodyDiv w:val="1"/>
      <w:marLeft w:val="0"/>
      <w:marRight w:val="0"/>
      <w:marTop w:val="0"/>
      <w:marBottom w:val="0"/>
      <w:divBdr>
        <w:top w:val="none" w:sz="0" w:space="0" w:color="auto"/>
        <w:left w:val="none" w:sz="0" w:space="0" w:color="auto"/>
        <w:bottom w:val="none" w:sz="0" w:space="0" w:color="auto"/>
        <w:right w:val="none" w:sz="0" w:space="0" w:color="auto"/>
      </w:divBdr>
    </w:div>
    <w:div w:id="741410158">
      <w:bodyDiv w:val="1"/>
      <w:marLeft w:val="0"/>
      <w:marRight w:val="0"/>
      <w:marTop w:val="0"/>
      <w:marBottom w:val="0"/>
      <w:divBdr>
        <w:top w:val="none" w:sz="0" w:space="0" w:color="auto"/>
        <w:left w:val="none" w:sz="0" w:space="0" w:color="auto"/>
        <w:bottom w:val="none" w:sz="0" w:space="0" w:color="auto"/>
        <w:right w:val="none" w:sz="0" w:space="0" w:color="auto"/>
      </w:divBdr>
    </w:div>
    <w:div w:id="793521663">
      <w:bodyDiv w:val="1"/>
      <w:marLeft w:val="0"/>
      <w:marRight w:val="0"/>
      <w:marTop w:val="0"/>
      <w:marBottom w:val="0"/>
      <w:divBdr>
        <w:top w:val="none" w:sz="0" w:space="0" w:color="auto"/>
        <w:left w:val="none" w:sz="0" w:space="0" w:color="auto"/>
        <w:bottom w:val="none" w:sz="0" w:space="0" w:color="auto"/>
        <w:right w:val="none" w:sz="0" w:space="0" w:color="auto"/>
      </w:divBdr>
    </w:div>
    <w:div w:id="944850156">
      <w:bodyDiv w:val="1"/>
      <w:marLeft w:val="0"/>
      <w:marRight w:val="0"/>
      <w:marTop w:val="0"/>
      <w:marBottom w:val="0"/>
      <w:divBdr>
        <w:top w:val="none" w:sz="0" w:space="0" w:color="auto"/>
        <w:left w:val="none" w:sz="0" w:space="0" w:color="auto"/>
        <w:bottom w:val="none" w:sz="0" w:space="0" w:color="auto"/>
        <w:right w:val="none" w:sz="0" w:space="0" w:color="auto"/>
      </w:divBdr>
    </w:div>
    <w:div w:id="1085611331">
      <w:bodyDiv w:val="1"/>
      <w:marLeft w:val="0"/>
      <w:marRight w:val="0"/>
      <w:marTop w:val="0"/>
      <w:marBottom w:val="0"/>
      <w:divBdr>
        <w:top w:val="none" w:sz="0" w:space="0" w:color="auto"/>
        <w:left w:val="none" w:sz="0" w:space="0" w:color="auto"/>
        <w:bottom w:val="none" w:sz="0" w:space="0" w:color="auto"/>
        <w:right w:val="none" w:sz="0" w:space="0" w:color="auto"/>
      </w:divBdr>
    </w:div>
    <w:div w:id="1180192775">
      <w:bodyDiv w:val="1"/>
      <w:marLeft w:val="0"/>
      <w:marRight w:val="0"/>
      <w:marTop w:val="0"/>
      <w:marBottom w:val="0"/>
      <w:divBdr>
        <w:top w:val="none" w:sz="0" w:space="0" w:color="auto"/>
        <w:left w:val="none" w:sz="0" w:space="0" w:color="auto"/>
        <w:bottom w:val="none" w:sz="0" w:space="0" w:color="auto"/>
        <w:right w:val="none" w:sz="0" w:space="0" w:color="auto"/>
      </w:divBdr>
    </w:div>
    <w:div w:id="1265845506">
      <w:bodyDiv w:val="1"/>
      <w:marLeft w:val="0"/>
      <w:marRight w:val="0"/>
      <w:marTop w:val="0"/>
      <w:marBottom w:val="0"/>
      <w:divBdr>
        <w:top w:val="none" w:sz="0" w:space="0" w:color="auto"/>
        <w:left w:val="none" w:sz="0" w:space="0" w:color="auto"/>
        <w:bottom w:val="none" w:sz="0" w:space="0" w:color="auto"/>
        <w:right w:val="none" w:sz="0" w:space="0" w:color="auto"/>
      </w:divBdr>
    </w:div>
    <w:div w:id="1396784613">
      <w:bodyDiv w:val="1"/>
      <w:marLeft w:val="0"/>
      <w:marRight w:val="0"/>
      <w:marTop w:val="0"/>
      <w:marBottom w:val="0"/>
      <w:divBdr>
        <w:top w:val="none" w:sz="0" w:space="0" w:color="auto"/>
        <w:left w:val="none" w:sz="0" w:space="0" w:color="auto"/>
        <w:bottom w:val="none" w:sz="0" w:space="0" w:color="auto"/>
        <w:right w:val="none" w:sz="0" w:space="0" w:color="auto"/>
      </w:divBdr>
    </w:div>
    <w:div w:id="1481312186">
      <w:bodyDiv w:val="1"/>
      <w:marLeft w:val="0"/>
      <w:marRight w:val="0"/>
      <w:marTop w:val="0"/>
      <w:marBottom w:val="0"/>
      <w:divBdr>
        <w:top w:val="none" w:sz="0" w:space="0" w:color="auto"/>
        <w:left w:val="none" w:sz="0" w:space="0" w:color="auto"/>
        <w:bottom w:val="none" w:sz="0" w:space="0" w:color="auto"/>
        <w:right w:val="none" w:sz="0" w:space="0" w:color="auto"/>
      </w:divBdr>
    </w:div>
    <w:div w:id="1500465150">
      <w:bodyDiv w:val="1"/>
      <w:marLeft w:val="0"/>
      <w:marRight w:val="0"/>
      <w:marTop w:val="0"/>
      <w:marBottom w:val="0"/>
      <w:divBdr>
        <w:top w:val="none" w:sz="0" w:space="0" w:color="auto"/>
        <w:left w:val="none" w:sz="0" w:space="0" w:color="auto"/>
        <w:bottom w:val="none" w:sz="0" w:space="0" w:color="auto"/>
        <w:right w:val="none" w:sz="0" w:space="0" w:color="auto"/>
      </w:divBdr>
    </w:div>
    <w:div w:id="1553467325">
      <w:bodyDiv w:val="1"/>
      <w:marLeft w:val="0"/>
      <w:marRight w:val="0"/>
      <w:marTop w:val="0"/>
      <w:marBottom w:val="0"/>
      <w:divBdr>
        <w:top w:val="none" w:sz="0" w:space="0" w:color="auto"/>
        <w:left w:val="none" w:sz="0" w:space="0" w:color="auto"/>
        <w:bottom w:val="none" w:sz="0" w:space="0" w:color="auto"/>
        <w:right w:val="none" w:sz="0" w:space="0" w:color="auto"/>
      </w:divBdr>
    </w:div>
    <w:div w:id="1596858570">
      <w:bodyDiv w:val="1"/>
      <w:marLeft w:val="0"/>
      <w:marRight w:val="0"/>
      <w:marTop w:val="0"/>
      <w:marBottom w:val="0"/>
      <w:divBdr>
        <w:top w:val="none" w:sz="0" w:space="0" w:color="auto"/>
        <w:left w:val="none" w:sz="0" w:space="0" w:color="auto"/>
        <w:bottom w:val="none" w:sz="0" w:space="0" w:color="auto"/>
        <w:right w:val="none" w:sz="0" w:space="0" w:color="auto"/>
      </w:divBdr>
    </w:div>
    <w:div w:id="1815683236">
      <w:bodyDiv w:val="1"/>
      <w:marLeft w:val="0"/>
      <w:marRight w:val="0"/>
      <w:marTop w:val="0"/>
      <w:marBottom w:val="0"/>
      <w:divBdr>
        <w:top w:val="none" w:sz="0" w:space="0" w:color="auto"/>
        <w:left w:val="none" w:sz="0" w:space="0" w:color="auto"/>
        <w:bottom w:val="none" w:sz="0" w:space="0" w:color="auto"/>
        <w:right w:val="none" w:sz="0" w:space="0" w:color="auto"/>
      </w:divBdr>
    </w:div>
    <w:div w:id="19803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ase@ramapo.edu" TargetMode="External"/><Relationship Id="rId13" Type="http://schemas.openxmlformats.org/officeDocument/2006/relationships/image" Target="media/image2.png"/><Relationship Id="rId18" Type="http://schemas.openxmlformats.org/officeDocument/2006/relationships/hyperlink" Target="https://doi.org/10.1207/s15327566ijce0304_2" TargetMode="External"/><Relationship Id="rId3" Type="http://schemas.openxmlformats.org/officeDocument/2006/relationships/settings" Target="settings.xml"/><Relationship Id="rId21" Type="http://schemas.openxmlformats.org/officeDocument/2006/relationships/hyperlink" Target="https://doi.org/10.1207/s15328023top2804_11" TargetMode="External"/><Relationship Id="rId7" Type="http://schemas.openxmlformats.org/officeDocument/2006/relationships/hyperlink" Target="mailto:GordonE@ohio.edu" TargetMode="External"/><Relationship Id="rId12" Type="http://schemas.openxmlformats.org/officeDocument/2006/relationships/image" Target="media/image1.emf"/><Relationship Id="rId17" Type="http://schemas.openxmlformats.org/officeDocument/2006/relationships/hyperlink" Target="https://www.amstat.org/asa/files/pdfs/gaise/gaiseprek-12_full.pdf" TargetMode="External"/><Relationship Id="rId2" Type="http://schemas.openxmlformats.org/officeDocument/2006/relationships/styles" Target="styles.xml"/><Relationship Id="rId16" Type="http://schemas.openxmlformats.org/officeDocument/2006/relationships/hyperlink" Target="https://doi.org/10.3390/app11052158" TargetMode="External"/><Relationship Id="rId20" Type="http://schemas.openxmlformats.org/officeDocument/2006/relationships/hyperlink" Target="https://doi.org/10.2307/2684932" TargetMode="External"/><Relationship Id="rId1" Type="http://schemas.openxmlformats.org/officeDocument/2006/relationships/numbering" Target="numbering.xml"/><Relationship Id="rId6" Type="http://schemas.openxmlformats.org/officeDocument/2006/relationships/hyperlink" Target="mailto:ChimeliJ@ohio.edu" TargetMode="External"/><Relationship Id="rId11" Type="http://schemas.openxmlformats.org/officeDocument/2006/relationships/hyperlink" Target="mailto:MoyerA@ohio.edu" TargetMode="External"/><Relationship Id="rId5" Type="http://schemas.openxmlformats.org/officeDocument/2006/relationships/hyperlink" Target="mailto:FrostR@ohio.edu" TargetMode="External"/><Relationship Id="rId15" Type="http://schemas.openxmlformats.org/officeDocument/2006/relationships/hyperlink" Target="https://doi" TargetMode="External"/><Relationship Id="rId23" Type="http://schemas.openxmlformats.org/officeDocument/2006/relationships/theme" Target="theme/theme1.xml"/><Relationship Id="rId10" Type="http://schemas.openxmlformats.org/officeDocument/2006/relationships/hyperlink" Target="mailto:Matta@ohio.edu" TargetMode="External"/><Relationship Id="rId19" Type="http://schemas.openxmlformats.org/officeDocument/2006/relationships/hyperlink" Target="https://www.ijraset.com/best-journal/python-based-end-user-computing-framework-to-empowering-excel-efficiency" TargetMode="External"/><Relationship Id="rId4" Type="http://schemas.openxmlformats.org/officeDocument/2006/relationships/webSettings" Target="webSettings.xml"/><Relationship Id="rId9" Type="http://schemas.openxmlformats.org/officeDocument/2006/relationships/hyperlink" Target="mailto:Kenyo@ohio.edu"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Frost</dc:creator>
  <cp:keywords/>
  <dc:description/>
  <cp:lastModifiedBy>Raymond Frost</cp:lastModifiedBy>
  <cp:revision>5</cp:revision>
  <dcterms:created xsi:type="dcterms:W3CDTF">2024-09-30T04:49:00Z</dcterms:created>
  <dcterms:modified xsi:type="dcterms:W3CDTF">2024-09-30T05:26:00Z</dcterms:modified>
</cp:coreProperties>
</file>